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DBB24" w14:textId="77777777" w:rsidR="00BF3C4E" w:rsidRPr="00666D78" w:rsidRDefault="00BF3C4E" w:rsidP="00666D78">
      <w:pPr>
        <w:spacing w:line="276" w:lineRule="auto"/>
        <w:jc w:val="center"/>
        <w:rPr>
          <w:rFonts w:ascii="Times New Roman" w:hAnsi="Times New Roman" w:cs="Times New Roman"/>
          <w:szCs w:val="24"/>
        </w:rPr>
      </w:pPr>
      <w:r w:rsidRPr="00666D78">
        <w:rPr>
          <w:rFonts w:ascii="Times New Roman" w:hAnsi="Times New Roman" w:cs="Times New Roman"/>
          <w:noProof/>
          <w:szCs w:val="24"/>
          <w:lang w:val="en-US"/>
        </w:rPr>
        <w:drawing>
          <wp:inline distT="0" distB="0" distL="0" distR="0" wp14:anchorId="5816340B" wp14:editId="66D760FC">
            <wp:extent cx="948267" cy="1062484"/>
            <wp:effectExtent l="0" t="0" r="4445" b="4445"/>
            <wp:docPr id="1" name="Picture 1" descr="A black and white drawing of a bi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bird&#10;&#10;Description automatically generated with low confidence"/>
                    <pic:cNvPicPr/>
                  </pic:nvPicPr>
                  <pic:blipFill>
                    <a:blip r:embed="rId7"/>
                    <a:stretch>
                      <a:fillRect/>
                    </a:stretch>
                  </pic:blipFill>
                  <pic:spPr>
                    <a:xfrm>
                      <a:off x="0" y="0"/>
                      <a:ext cx="969842" cy="1086657"/>
                    </a:xfrm>
                    <a:prstGeom prst="rect">
                      <a:avLst/>
                    </a:prstGeom>
                  </pic:spPr>
                </pic:pic>
              </a:graphicData>
            </a:graphic>
          </wp:inline>
        </w:drawing>
      </w:r>
    </w:p>
    <w:p w14:paraId="24014E5D" w14:textId="77777777" w:rsidR="00BF3C4E" w:rsidRPr="00666D78" w:rsidRDefault="00BF3C4E" w:rsidP="00666D78">
      <w:pPr>
        <w:spacing w:line="276" w:lineRule="auto"/>
        <w:rPr>
          <w:rFonts w:ascii="Times New Roman" w:hAnsi="Times New Roman" w:cs="Times New Roman"/>
          <w:szCs w:val="24"/>
        </w:rPr>
      </w:pPr>
    </w:p>
    <w:p w14:paraId="61280A0B" w14:textId="2C5EC38E" w:rsidR="00BF3C4E" w:rsidRPr="00666D78" w:rsidRDefault="00BF3C4E" w:rsidP="00666D78">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t>Thammasat University Regulations</w:t>
      </w:r>
      <w:r w:rsidRPr="00666D78">
        <w:rPr>
          <w:rFonts w:ascii="Times New Roman" w:hAnsi="Times New Roman" w:cs="Times New Roman"/>
          <w:b/>
          <w:bCs/>
          <w:szCs w:val="24"/>
        </w:rPr>
        <w:br/>
      </w:r>
      <w:r w:rsidR="00A755C1" w:rsidRPr="00A755C1">
        <w:rPr>
          <w:rFonts w:ascii="Times New Roman" w:hAnsi="Times New Roman" w:cs="Times New Roman"/>
          <w:b/>
          <w:bCs/>
          <w:szCs w:val="24"/>
        </w:rPr>
        <w:t>on Graduate Education (No. 2) B.E. 2564 (2021)</w:t>
      </w:r>
    </w:p>
    <w:p w14:paraId="28F91259" w14:textId="77777777" w:rsidR="00BF3C4E" w:rsidRPr="00666D78" w:rsidRDefault="00BF3C4E" w:rsidP="00666D78">
      <w:pPr>
        <w:spacing w:line="276" w:lineRule="auto"/>
        <w:jc w:val="center"/>
        <w:rPr>
          <w:rFonts w:ascii="Times New Roman" w:hAnsi="Times New Roman" w:cs="Times New Roman"/>
          <w:szCs w:val="24"/>
        </w:rPr>
      </w:pPr>
    </w:p>
    <w:p w14:paraId="75218434" w14:textId="2B2441B2" w:rsidR="00BF3C4E" w:rsidRPr="00666D78" w:rsidRDefault="00BF3C4E"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5C679D33" w14:textId="037A9B35" w:rsidR="00BF3C4E" w:rsidRPr="00666D78" w:rsidRDefault="00BF3C4E" w:rsidP="00666D78">
      <w:pPr>
        <w:spacing w:line="276" w:lineRule="auto"/>
        <w:rPr>
          <w:rFonts w:ascii="Times New Roman" w:hAnsi="Times New Roman" w:cs="Times New Roman"/>
          <w:szCs w:val="24"/>
        </w:rPr>
      </w:pPr>
    </w:p>
    <w:p w14:paraId="2DC5CFD5" w14:textId="5593ECB2" w:rsidR="00BF3C4E" w:rsidRPr="00666D78" w:rsidRDefault="006F7514" w:rsidP="00A755C1">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00A755C1" w:rsidRPr="00F944CD">
        <w:rPr>
          <w:rFonts w:ascii="Times New Roman" w:hAnsi="Times New Roman" w:cs="Times New Roman"/>
          <w:szCs w:val="24"/>
        </w:rPr>
        <w:t>Whereas it is expedient to amend the Thammasat University Regulations on Graduate Education B.E. 2561 (2018);</w:t>
      </w:r>
    </w:p>
    <w:p w14:paraId="055525ED" w14:textId="2D2C91F5" w:rsidR="006F7514" w:rsidRPr="00666D78" w:rsidRDefault="006F7514" w:rsidP="00A755C1">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00A755C1" w:rsidRPr="00F944CD">
        <w:rPr>
          <w:rFonts w:ascii="Times New Roman" w:hAnsi="Times New Roman" w:cs="Times New Roman"/>
          <w:szCs w:val="24"/>
        </w:rPr>
        <w:t xml:space="preserve">By virtue of the powers conferred by Section 23 of the Thammasat University Act </w:t>
      </w:r>
      <w:r w:rsidR="00A755C1">
        <w:rPr>
          <w:rFonts w:ascii="Times New Roman" w:hAnsi="Times New Roman" w:cs="Times New Roman"/>
          <w:szCs w:val="24"/>
        </w:rPr>
        <w:br/>
      </w:r>
      <w:r w:rsidR="00A755C1" w:rsidRPr="00F944CD">
        <w:rPr>
          <w:rFonts w:ascii="Times New Roman" w:hAnsi="Times New Roman" w:cs="Times New Roman"/>
          <w:szCs w:val="24"/>
        </w:rPr>
        <w:t>B.E. 2558 (2015), the University Council passed a resolution in meeting no. 4/2564 on 26 April B.E. 2564 (2021) approving the issu</w:t>
      </w:r>
      <w:r w:rsidR="00A755C1">
        <w:rPr>
          <w:rFonts w:ascii="Times New Roman" w:hAnsi="Times New Roman" w:cs="Times New Roman"/>
          <w:szCs w:val="24"/>
        </w:rPr>
        <w:t>ance</w:t>
      </w:r>
      <w:r w:rsidR="00A755C1" w:rsidRPr="00F944CD">
        <w:rPr>
          <w:rFonts w:ascii="Times New Roman" w:hAnsi="Times New Roman" w:cs="Times New Roman"/>
          <w:szCs w:val="24"/>
        </w:rPr>
        <w:t xml:space="preserve"> of these Regulations.</w:t>
      </w:r>
    </w:p>
    <w:p w14:paraId="347717E6" w14:textId="6962DD65" w:rsidR="006F7514" w:rsidRPr="00666D78" w:rsidRDefault="006F7514" w:rsidP="00A755C1">
      <w:pPr>
        <w:spacing w:line="276" w:lineRule="auto"/>
        <w:jc w:val="both"/>
        <w:rPr>
          <w:rFonts w:ascii="Times New Roman" w:hAnsi="Times New Roman" w:cs="Times New Roman"/>
          <w:szCs w:val="24"/>
        </w:rPr>
      </w:pPr>
    </w:p>
    <w:p w14:paraId="2C4E0785" w14:textId="3EF86FCB" w:rsidR="006F7514" w:rsidRPr="00666D78" w:rsidRDefault="006F7514" w:rsidP="00A755C1">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005C7A17" w:rsidRPr="00666D78">
        <w:rPr>
          <w:rFonts w:ascii="Times New Roman" w:hAnsi="Times New Roman" w:cs="Times New Roman"/>
          <w:b/>
          <w:bCs/>
          <w:szCs w:val="24"/>
        </w:rPr>
        <w:t>Article 1</w:t>
      </w:r>
      <w:r w:rsidRPr="00666D78">
        <w:rPr>
          <w:rFonts w:ascii="Times New Roman" w:hAnsi="Times New Roman" w:cs="Times New Roman"/>
          <w:b/>
          <w:bCs/>
          <w:szCs w:val="24"/>
        </w:rPr>
        <w:t>.</w:t>
      </w:r>
      <w:r w:rsidR="005C7A17" w:rsidRPr="00666D78">
        <w:rPr>
          <w:rFonts w:ascii="Times New Roman" w:hAnsi="Times New Roman" w:cs="Times New Roman"/>
          <w:szCs w:val="24"/>
        </w:rPr>
        <w:t xml:space="preserve"> </w:t>
      </w:r>
      <w:r w:rsidRPr="00666D78">
        <w:rPr>
          <w:rFonts w:ascii="Times New Roman" w:hAnsi="Times New Roman" w:cs="Times New Roman"/>
          <w:szCs w:val="24"/>
        </w:rPr>
        <w:t xml:space="preserve"> </w:t>
      </w:r>
      <w:r w:rsidR="00A755C1" w:rsidRPr="00A755C1">
        <w:rPr>
          <w:rFonts w:ascii="Times New Roman" w:hAnsi="Times New Roman" w:cs="Times New Roman"/>
          <w:szCs w:val="24"/>
        </w:rPr>
        <w:t>These Regulations are called “Thammasat University Regulations on Graduate Education (No. 2) B.E. 2564 (2021)”.</w:t>
      </w:r>
    </w:p>
    <w:p w14:paraId="70E63987" w14:textId="77777777" w:rsidR="006F7514" w:rsidRPr="00666D78" w:rsidRDefault="006F7514" w:rsidP="00A755C1">
      <w:pPr>
        <w:spacing w:line="276" w:lineRule="auto"/>
        <w:jc w:val="both"/>
        <w:rPr>
          <w:rFonts w:ascii="Times New Roman" w:hAnsi="Times New Roman" w:cs="Times New Roman"/>
          <w:szCs w:val="24"/>
        </w:rPr>
      </w:pPr>
    </w:p>
    <w:p w14:paraId="7AC59297" w14:textId="2F71CC9D" w:rsidR="005C7A17" w:rsidRPr="00666D78" w:rsidRDefault="006F7514" w:rsidP="00A755C1">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005C7A17" w:rsidRPr="00666D78">
        <w:rPr>
          <w:rFonts w:ascii="Times New Roman" w:hAnsi="Times New Roman" w:cs="Times New Roman"/>
          <w:b/>
          <w:bCs/>
          <w:szCs w:val="24"/>
        </w:rPr>
        <w:t>Article 2</w:t>
      </w:r>
      <w:r w:rsidRPr="00666D78">
        <w:rPr>
          <w:rFonts w:ascii="Times New Roman" w:hAnsi="Times New Roman" w:cs="Times New Roman"/>
          <w:b/>
          <w:bCs/>
          <w:szCs w:val="24"/>
        </w:rPr>
        <w:t>.</w:t>
      </w:r>
      <w:r w:rsidR="005C7A17" w:rsidRPr="00666D78">
        <w:rPr>
          <w:rFonts w:ascii="Times New Roman" w:hAnsi="Times New Roman" w:cs="Times New Roman"/>
          <w:szCs w:val="24"/>
        </w:rPr>
        <w:t xml:space="preserve"> </w:t>
      </w:r>
      <w:r w:rsidRPr="00666D78">
        <w:rPr>
          <w:rFonts w:ascii="Times New Roman" w:hAnsi="Times New Roman" w:cs="Times New Roman"/>
          <w:szCs w:val="24"/>
        </w:rPr>
        <w:t xml:space="preserve"> </w:t>
      </w:r>
      <w:r w:rsidR="00A755C1" w:rsidRPr="00F944CD">
        <w:rPr>
          <w:rFonts w:ascii="Times New Roman" w:hAnsi="Times New Roman" w:cs="Times New Roman"/>
          <w:szCs w:val="24"/>
        </w:rPr>
        <w:t>These Regulations will apply to students who are registered as students at graduate degree level in academic year 2561 (2018) onwards.</w:t>
      </w:r>
    </w:p>
    <w:p w14:paraId="1FA0F6C0" w14:textId="77777777" w:rsidR="00C30647" w:rsidRPr="00666D78" w:rsidRDefault="00C30647" w:rsidP="00A755C1">
      <w:pPr>
        <w:spacing w:line="276" w:lineRule="auto"/>
        <w:jc w:val="both"/>
        <w:rPr>
          <w:rFonts w:ascii="Times New Roman" w:hAnsi="Times New Roman" w:cs="Times New Roman"/>
          <w:szCs w:val="24"/>
        </w:rPr>
      </w:pPr>
    </w:p>
    <w:p w14:paraId="3EB2BA72" w14:textId="77777777" w:rsidR="00A755C1" w:rsidRPr="00A755C1" w:rsidRDefault="00C30647" w:rsidP="00A755C1">
      <w:pPr>
        <w:spacing w:line="276" w:lineRule="auto"/>
        <w:jc w:val="thaiDistribute"/>
        <w:rPr>
          <w:rFonts w:ascii="Times New Roman" w:hAnsi="Times New Roman" w:cs="Times New Roman"/>
          <w:szCs w:val="24"/>
        </w:rPr>
      </w:pPr>
      <w:r w:rsidRPr="00666D78">
        <w:rPr>
          <w:rFonts w:ascii="Times New Roman" w:hAnsi="Times New Roman" w:cs="Times New Roman"/>
          <w:szCs w:val="24"/>
        </w:rPr>
        <w:tab/>
      </w:r>
      <w:r w:rsidR="005C7A17" w:rsidRPr="00666D78">
        <w:rPr>
          <w:rFonts w:ascii="Times New Roman" w:hAnsi="Times New Roman" w:cs="Times New Roman"/>
          <w:b/>
          <w:bCs/>
          <w:szCs w:val="24"/>
        </w:rPr>
        <w:t xml:space="preserve">Article </w:t>
      </w:r>
      <w:r w:rsidR="0077272A">
        <w:rPr>
          <w:rFonts w:ascii="Times New Roman" w:hAnsi="Times New Roman" w:cs="Times New Roman"/>
          <w:b/>
          <w:bCs/>
          <w:szCs w:val="24"/>
        </w:rPr>
        <w:t>3</w:t>
      </w:r>
      <w:r w:rsidRPr="00666D78">
        <w:rPr>
          <w:rFonts w:ascii="Times New Roman" w:hAnsi="Times New Roman" w:cs="Times New Roman"/>
          <w:b/>
          <w:bCs/>
          <w:szCs w:val="24"/>
        </w:rPr>
        <w:t>.</w:t>
      </w:r>
      <w:r w:rsidRPr="00666D78">
        <w:rPr>
          <w:rFonts w:ascii="Times New Roman" w:hAnsi="Times New Roman" w:cs="Times New Roman"/>
          <w:szCs w:val="24"/>
        </w:rPr>
        <w:t xml:space="preserve"> </w:t>
      </w:r>
      <w:r w:rsidR="005C7A17" w:rsidRPr="00666D78">
        <w:rPr>
          <w:rFonts w:ascii="Times New Roman" w:hAnsi="Times New Roman" w:cs="Times New Roman"/>
          <w:szCs w:val="24"/>
        </w:rPr>
        <w:t xml:space="preserve"> </w:t>
      </w:r>
      <w:r w:rsidR="00A755C1" w:rsidRPr="00A755C1">
        <w:rPr>
          <w:rFonts w:ascii="Times New Roman" w:hAnsi="Times New Roman" w:cs="Times New Roman"/>
          <w:szCs w:val="24"/>
        </w:rPr>
        <w:t>The content of Article 19 of the Thammasat University Regulations on Graduate Education B.E. 2561 (2018) will be repealed and replaced with the following:</w:t>
      </w:r>
    </w:p>
    <w:p w14:paraId="69A77D94" w14:textId="77777777" w:rsidR="00A755C1" w:rsidRPr="00A755C1" w:rsidRDefault="00A755C1" w:rsidP="00A755C1">
      <w:pPr>
        <w:spacing w:line="276" w:lineRule="auto"/>
        <w:jc w:val="thaiDistribute"/>
        <w:rPr>
          <w:rFonts w:ascii="Times New Roman" w:hAnsi="Times New Roman" w:cs="Times New Roman"/>
          <w:szCs w:val="24"/>
        </w:rPr>
      </w:pPr>
      <w:r w:rsidRPr="00A755C1">
        <w:rPr>
          <w:rFonts w:ascii="Times New Roman" w:hAnsi="Times New Roman" w:cs="Times New Roman"/>
          <w:szCs w:val="24"/>
        </w:rPr>
        <w:tab/>
        <w:t>“</w:t>
      </w:r>
      <w:r w:rsidRPr="00A755C1">
        <w:rPr>
          <w:rFonts w:ascii="Times New Roman" w:hAnsi="Times New Roman" w:cs="Times New Roman"/>
          <w:b/>
          <w:bCs/>
          <w:szCs w:val="24"/>
        </w:rPr>
        <w:t>Article 19.</w:t>
      </w:r>
      <w:r w:rsidRPr="00A755C1">
        <w:rPr>
          <w:rFonts w:ascii="Times New Roman" w:hAnsi="Times New Roman" w:cs="Times New Roman"/>
          <w:szCs w:val="24"/>
        </w:rPr>
        <w:t xml:space="preserve">  In the event that the Programme structure compels, or that there is a condition imposed on, students at doctoral level requiring them to publish a research article in an international level academic journal, where a student has completed study according to the Programme structure and passed his or her thesis examination, but is waiting for acceptance of publication of his or her research article in an international level academic journal, he or she may request an extension of his or her period of education in accordance with Article 17 in order to continue to wait for the acceptance of publication, on each occasion for two Semesters but not for more than four Semesters.</w:t>
      </w:r>
    </w:p>
    <w:p w14:paraId="5D49AE88" w14:textId="5989929F" w:rsidR="00041B6A" w:rsidRPr="00666D78" w:rsidRDefault="00A755C1" w:rsidP="00A755C1">
      <w:pPr>
        <w:spacing w:line="276" w:lineRule="auto"/>
        <w:jc w:val="thaiDistribute"/>
        <w:rPr>
          <w:rFonts w:ascii="Times New Roman" w:hAnsi="Times New Roman" w:cs="Times New Roman"/>
          <w:szCs w:val="24"/>
        </w:rPr>
      </w:pPr>
      <w:r w:rsidRPr="00A755C1">
        <w:rPr>
          <w:rFonts w:ascii="Times New Roman" w:hAnsi="Times New Roman" w:cs="Times New Roman"/>
          <w:szCs w:val="24"/>
        </w:rPr>
        <w:tab/>
        <w:t>In requesting an extension of the period of time in paragraph one, the student shall make a request including evidence of the submission of the research for publication or a written acceptance of publication to the Dean to consider and make a recommendation to the Rector in advance before the expiry of his or her period of study, provided that the student shall maintain his or her student status in a Semester for which he or she has received authorisation for an extension of the period of his or her education.”</w:t>
      </w:r>
      <w:r w:rsidR="00C30647" w:rsidRPr="00666D78">
        <w:rPr>
          <w:rFonts w:ascii="Times New Roman" w:hAnsi="Times New Roman" w:cs="Times New Roman"/>
          <w:szCs w:val="24"/>
        </w:rPr>
        <w:tab/>
      </w:r>
      <w:r w:rsidR="005C7A17" w:rsidRPr="00666D78">
        <w:rPr>
          <w:rFonts w:ascii="Times New Roman" w:hAnsi="Times New Roman" w:cs="Times New Roman"/>
          <w:szCs w:val="24"/>
        </w:rPr>
        <w:t xml:space="preserve"> </w:t>
      </w:r>
    </w:p>
    <w:p w14:paraId="74D14305" w14:textId="77777777" w:rsidR="00A755C1" w:rsidRPr="00A755C1" w:rsidRDefault="00C30647" w:rsidP="00A755C1">
      <w:pPr>
        <w:spacing w:line="276" w:lineRule="auto"/>
        <w:jc w:val="thaiDistribute"/>
        <w:rPr>
          <w:rFonts w:ascii="Times New Roman" w:hAnsi="Times New Roman" w:cs="Times New Roman"/>
          <w:szCs w:val="24"/>
        </w:rPr>
      </w:pPr>
      <w:r w:rsidRPr="00666D78">
        <w:rPr>
          <w:rFonts w:ascii="Times New Roman" w:hAnsi="Times New Roman" w:cs="Times New Roman"/>
          <w:b/>
          <w:szCs w:val="24"/>
        </w:rPr>
        <w:lastRenderedPageBreak/>
        <w:tab/>
        <w:t>Article</w:t>
      </w:r>
      <w:r w:rsidR="005C7A17" w:rsidRPr="00666D78">
        <w:rPr>
          <w:rFonts w:ascii="Times New Roman" w:hAnsi="Times New Roman" w:cs="Times New Roman"/>
          <w:b/>
          <w:bCs/>
          <w:szCs w:val="24"/>
        </w:rPr>
        <w:t xml:space="preserve"> </w:t>
      </w:r>
      <w:r w:rsidR="0077272A">
        <w:rPr>
          <w:rFonts w:ascii="Times New Roman" w:hAnsi="Times New Roman" w:cs="Times New Roman"/>
          <w:b/>
          <w:bCs/>
          <w:szCs w:val="24"/>
        </w:rPr>
        <w:t>4</w:t>
      </w:r>
      <w:r w:rsidRPr="00666D78">
        <w:rPr>
          <w:rFonts w:ascii="Times New Roman" w:hAnsi="Times New Roman" w:cs="Times New Roman"/>
          <w:b/>
          <w:bCs/>
          <w:szCs w:val="24"/>
        </w:rPr>
        <w:t xml:space="preserve">. </w:t>
      </w:r>
      <w:r w:rsidR="005C7A17" w:rsidRPr="00666D78">
        <w:rPr>
          <w:rFonts w:ascii="Times New Roman" w:hAnsi="Times New Roman" w:cs="Times New Roman"/>
          <w:szCs w:val="24"/>
        </w:rPr>
        <w:t xml:space="preserve"> </w:t>
      </w:r>
      <w:r w:rsidR="00A755C1" w:rsidRPr="00A755C1">
        <w:rPr>
          <w:rFonts w:ascii="Times New Roman" w:hAnsi="Times New Roman" w:cs="Times New Roman"/>
          <w:szCs w:val="24"/>
        </w:rPr>
        <w:t>The content of Article 39 of the Thammasat University Regulations on Graduate Education B.E. 2561 (2018) will be repealed and replaced with the following:</w:t>
      </w:r>
    </w:p>
    <w:p w14:paraId="1B0500B1" w14:textId="77777777" w:rsidR="00A755C1" w:rsidRPr="00A755C1" w:rsidRDefault="00A755C1" w:rsidP="00A755C1">
      <w:pPr>
        <w:spacing w:line="276" w:lineRule="auto"/>
        <w:jc w:val="thaiDistribute"/>
        <w:rPr>
          <w:rFonts w:ascii="Times New Roman" w:hAnsi="Times New Roman" w:cs="Times New Roman"/>
          <w:szCs w:val="24"/>
        </w:rPr>
      </w:pPr>
      <w:r w:rsidRPr="00A755C1">
        <w:rPr>
          <w:rFonts w:ascii="Times New Roman" w:hAnsi="Times New Roman" w:cs="Times New Roman"/>
          <w:szCs w:val="24"/>
        </w:rPr>
        <w:tab/>
        <w:t>“</w:t>
      </w:r>
      <w:r w:rsidRPr="00A755C1">
        <w:rPr>
          <w:rFonts w:ascii="Times New Roman" w:hAnsi="Times New Roman" w:cs="Times New Roman"/>
          <w:b/>
          <w:bCs/>
          <w:szCs w:val="24"/>
        </w:rPr>
        <w:t>Article 39.</w:t>
      </w:r>
      <w:r w:rsidRPr="00A755C1">
        <w:rPr>
          <w:rFonts w:ascii="Times New Roman" w:hAnsi="Times New Roman" w:cs="Times New Roman"/>
          <w:szCs w:val="24"/>
        </w:rPr>
        <w:t xml:space="preserve">  A request for addition of courses after enrolment may be made during the 14 days from and including the opening day of the Semester, or during the 7 days from and including the opening day of the summer semester, provided that, in the case of a justifiable reason, the Dean may authorise the addition of courses after the expiry of the periods provided above, but not later than 14 days prior to the final day of the Semester or the summer semester as the case may be, and provided that the student shall meet the requirements on studying time prescribed in Article 81.</w:t>
      </w:r>
    </w:p>
    <w:p w14:paraId="39DB3D93" w14:textId="1D837B55" w:rsidR="00F70807" w:rsidRDefault="00A755C1" w:rsidP="00A755C1">
      <w:pPr>
        <w:spacing w:line="276" w:lineRule="auto"/>
        <w:jc w:val="thaiDistribute"/>
        <w:rPr>
          <w:rFonts w:ascii="Times New Roman" w:hAnsi="Times New Roman" w:cs="Times New Roman"/>
          <w:szCs w:val="24"/>
        </w:rPr>
      </w:pPr>
      <w:r w:rsidRPr="00A755C1">
        <w:rPr>
          <w:rFonts w:ascii="Times New Roman" w:hAnsi="Times New Roman" w:cs="Times New Roman"/>
          <w:szCs w:val="24"/>
        </w:rPr>
        <w:tab/>
        <w:t>A request for addition of courses pursuant to paragraph one requires prior approval from the course instructor, and in the event of registering for an additional course after the expiry of the period, the student will pay the fine for late registration of additional courses at a daily rate pursuant to announcements of the University on rates of education fees.</w:t>
      </w:r>
      <w:r w:rsidR="00203DFF">
        <w:rPr>
          <w:rFonts w:ascii="Times New Roman" w:hAnsi="Times New Roman" w:cs="Times New Roman"/>
          <w:szCs w:val="24"/>
        </w:rPr>
        <w:t>”</w:t>
      </w:r>
    </w:p>
    <w:p w14:paraId="23D2A42B" w14:textId="77777777" w:rsidR="00A755C1" w:rsidRPr="00666D78" w:rsidRDefault="00A755C1" w:rsidP="00A755C1">
      <w:pPr>
        <w:spacing w:line="276" w:lineRule="auto"/>
        <w:jc w:val="thaiDistribute"/>
        <w:rPr>
          <w:rFonts w:ascii="Times New Roman" w:hAnsi="Times New Roman" w:cs="Times New Roman"/>
          <w:szCs w:val="24"/>
        </w:rPr>
      </w:pPr>
    </w:p>
    <w:p w14:paraId="1AB085E5" w14:textId="77777777" w:rsidR="00A755C1" w:rsidRPr="00A755C1" w:rsidRDefault="00C30647" w:rsidP="00A755C1">
      <w:pPr>
        <w:spacing w:line="276" w:lineRule="auto"/>
        <w:jc w:val="both"/>
        <w:rPr>
          <w:rFonts w:ascii="Times New Roman" w:hAnsi="Times New Roman" w:cs="Times New Roman"/>
          <w:szCs w:val="24"/>
        </w:rPr>
      </w:pPr>
      <w:r w:rsidRPr="00666D78">
        <w:rPr>
          <w:rFonts w:ascii="Times New Roman" w:hAnsi="Times New Roman" w:cs="Times New Roman"/>
          <w:b/>
          <w:szCs w:val="24"/>
        </w:rPr>
        <w:tab/>
        <w:t>Article</w:t>
      </w:r>
      <w:r w:rsidR="00F70807" w:rsidRPr="00666D78">
        <w:rPr>
          <w:rFonts w:ascii="Times New Roman" w:hAnsi="Times New Roman" w:cs="Times New Roman"/>
          <w:b/>
          <w:szCs w:val="24"/>
        </w:rPr>
        <w:t xml:space="preserve"> </w:t>
      </w:r>
      <w:r w:rsidR="0077272A">
        <w:rPr>
          <w:rFonts w:ascii="Times New Roman" w:hAnsi="Times New Roman" w:cs="Times New Roman"/>
          <w:b/>
          <w:szCs w:val="24"/>
        </w:rPr>
        <w:t>5</w:t>
      </w:r>
      <w:r w:rsidR="00F70807" w:rsidRPr="00666D78">
        <w:rPr>
          <w:rFonts w:ascii="Times New Roman" w:hAnsi="Times New Roman" w:cs="Times New Roman"/>
          <w:b/>
          <w:szCs w:val="24"/>
        </w:rPr>
        <w:t>.</w:t>
      </w:r>
      <w:r w:rsidR="00F70807" w:rsidRPr="00666D78">
        <w:rPr>
          <w:rFonts w:ascii="Times New Roman" w:hAnsi="Times New Roman" w:cs="Times New Roman"/>
          <w:szCs w:val="24"/>
        </w:rPr>
        <w:t xml:space="preserve">  </w:t>
      </w:r>
      <w:r w:rsidR="00A755C1" w:rsidRPr="00A755C1">
        <w:rPr>
          <w:rFonts w:ascii="Times New Roman" w:hAnsi="Times New Roman" w:cs="Times New Roman"/>
          <w:szCs w:val="24"/>
        </w:rPr>
        <w:t>The content of Article 42 of the Thammasat University Regulations on Graduate Education B.E. 2561 (2018) will be repealed and replaced with the following:</w:t>
      </w:r>
    </w:p>
    <w:p w14:paraId="010D5E23" w14:textId="77777777" w:rsidR="00A755C1" w:rsidRPr="00A755C1" w:rsidRDefault="00A755C1" w:rsidP="00A755C1">
      <w:pPr>
        <w:spacing w:line="276" w:lineRule="auto"/>
        <w:jc w:val="both"/>
        <w:rPr>
          <w:rFonts w:ascii="Times New Roman" w:hAnsi="Times New Roman" w:cs="Times New Roman"/>
          <w:szCs w:val="24"/>
        </w:rPr>
      </w:pPr>
      <w:r w:rsidRPr="00A755C1">
        <w:rPr>
          <w:rFonts w:ascii="Times New Roman" w:hAnsi="Times New Roman" w:cs="Times New Roman"/>
          <w:szCs w:val="24"/>
        </w:rPr>
        <w:tab/>
        <w:t>“</w:t>
      </w:r>
      <w:r w:rsidRPr="00A755C1">
        <w:rPr>
          <w:rFonts w:ascii="Times New Roman" w:hAnsi="Times New Roman" w:cs="Times New Roman"/>
          <w:b/>
          <w:bCs/>
          <w:szCs w:val="24"/>
        </w:rPr>
        <w:t>Article 42.</w:t>
      </w:r>
      <w:r w:rsidRPr="00A755C1">
        <w:rPr>
          <w:rFonts w:ascii="Times New Roman" w:hAnsi="Times New Roman" w:cs="Times New Roman"/>
          <w:szCs w:val="24"/>
        </w:rPr>
        <w:t xml:space="preserve">  Equivalent course and credit transfer </w:t>
      </w:r>
      <w:proofErr w:type="gramStart"/>
      <w:r w:rsidRPr="00A755C1">
        <w:rPr>
          <w:rFonts w:ascii="Times New Roman" w:hAnsi="Times New Roman" w:cs="Times New Roman"/>
          <w:szCs w:val="24"/>
        </w:rPr>
        <w:t>means</w:t>
      </w:r>
      <w:proofErr w:type="gramEnd"/>
      <w:r w:rsidRPr="00A755C1">
        <w:rPr>
          <w:rFonts w:ascii="Times New Roman" w:hAnsi="Times New Roman" w:cs="Times New Roman"/>
          <w:szCs w:val="24"/>
        </w:rPr>
        <w:t xml:space="preserve"> an equivalent course transfer in the event that a student has studied a course at an Other Higher Education Institution, whereby the student may request an equivalent course and credit transfer where the content of the course is equivalent and where the criteria for evaluation or assessment has equivalent standards to a course in the Programme in which the student is studying, in accordance with the following criteria:</w:t>
      </w:r>
    </w:p>
    <w:p w14:paraId="78E1242D" w14:textId="16B5183D" w:rsidR="00A755C1" w:rsidRPr="00A755C1" w:rsidRDefault="00A755C1" w:rsidP="00A755C1">
      <w:pPr>
        <w:spacing w:line="276" w:lineRule="auto"/>
        <w:jc w:val="both"/>
        <w:rPr>
          <w:rFonts w:ascii="Times New Roman" w:hAnsi="Times New Roman" w:cs="Times New Roman"/>
          <w:szCs w:val="24"/>
        </w:rPr>
      </w:pPr>
      <w:r w:rsidRPr="00A755C1">
        <w:rPr>
          <w:rFonts w:ascii="Times New Roman" w:hAnsi="Times New Roman" w:cs="Times New Roman"/>
          <w:szCs w:val="24"/>
        </w:rPr>
        <w:tab/>
        <w:t>(1) the equivalency transfer is not to account for more than one third of the total number of credits for the Programme, and the student is to have a period of study in the Programme that will receive the equivalency transfer of not less than one academic year before he or she will have the right to graduate;</w:t>
      </w:r>
    </w:p>
    <w:p w14:paraId="7035CCC7" w14:textId="3C6F916F" w:rsidR="00A755C1" w:rsidRPr="00A755C1" w:rsidRDefault="00A755C1" w:rsidP="00A755C1">
      <w:pPr>
        <w:spacing w:line="276" w:lineRule="auto"/>
        <w:jc w:val="both"/>
        <w:rPr>
          <w:rFonts w:ascii="Times New Roman" w:hAnsi="Times New Roman" w:cs="Times New Roman"/>
          <w:szCs w:val="24"/>
        </w:rPr>
      </w:pPr>
      <w:r w:rsidRPr="00A755C1">
        <w:rPr>
          <w:rFonts w:ascii="Times New Roman" w:hAnsi="Times New Roman" w:cs="Times New Roman"/>
          <w:szCs w:val="24"/>
        </w:rPr>
        <w:tab/>
        <w:t>(2) the course for which an equivalency transfer is requested is not to be a course in a Programme of which that student has had his or her name withdrawn from the student register.</w:t>
      </w:r>
    </w:p>
    <w:p w14:paraId="5AFDF264" w14:textId="1F2B2EC9" w:rsidR="00A755C1" w:rsidRPr="00A755C1" w:rsidRDefault="00A755C1" w:rsidP="00A755C1">
      <w:pPr>
        <w:spacing w:line="276" w:lineRule="auto"/>
        <w:jc w:val="both"/>
        <w:rPr>
          <w:rFonts w:ascii="Times New Roman" w:hAnsi="Times New Roman" w:cs="Times New Roman"/>
          <w:szCs w:val="24"/>
        </w:rPr>
      </w:pPr>
      <w:r w:rsidRPr="00A755C1">
        <w:rPr>
          <w:rFonts w:ascii="Times New Roman" w:hAnsi="Times New Roman" w:cs="Times New Roman"/>
          <w:szCs w:val="24"/>
        </w:rPr>
        <w:tab/>
        <w:t>(3) the course for which an equivalency transfer is requested is to have been studied not more than eight years previously, calculated from and including the year in which the student enrolled for the course to the day on which the request is made for equivalent course and credit transfer.</w:t>
      </w:r>
    </w:p>
    <w:p w14:paraId="5B48C928" w14:textId="56AE983B" w:rsidR="00A755C1" w:rsidRPr="00A755C1" w:rsidRDefault="00A755C1" w:rsidP="00A755C1">
      <w:pPr>
        <w:spacing w:line="276" w:lineRule="auto"/>
        <w:jc w:val="both"/>
        <w:rPr>
          <w:rFonts w:ascii="Times New Roman" w:hAnsi="Times New Roman" w:cs="Times New Roman"/>
          <w:szCs w:val="24"/>
        </w:rPr>
      </w:pPr>
      <w:r w:rsidRPr="00A755C1">
        <w:rPr>
          <w:rFonts w:ascii="Times New Roman" w:hAnsi="Times New Roman" w:cs="Times New Roman"/>
          <w:szCs w:val="24"/>
        </w:rPr>
        <w:tab/>
        <w:t>(4) the course for which an equivalency transfer is requested is to have received educational results of grade ‘B’ or higher, or equivalent, or has received the letter ‘S’ (Satisfactory), except in the case of a student undertaking a study studying at another university or an Other Higher Education Institution on a project for collaboration in producing graduates or an academic exchange project, in which case an equivalency transfer may be made for a course and credits with the actual educational result.</w:t>
      </w:r>
    </w:p>
    <w:p w14:paraId="1259F3C7" w14:textId="0312E6A7" w:rsidR="00A755C1" w:rsidRPr="00A755C1" w:rsidRDefault="00A755C1" w:rsidP="00A755C1">
      <w:pPr>
        <w:spacing w:line="276" w:lineRule="auto"/>
        <w:jc w:val="both"/>
        <w:rPr>
          <w:rFonts w:ascii="Times New Roman" w:hAnsi="Times New Roman" w:cs="Times New Roman"/>
          <w:szCs w:val="24"/>
        </w:rPr>
      </w:pPr>
      <w:r w:rsidRPr="00A755C1">
        <w:rPr>
          <w:rFonts w:ascii="Times New Roman" w:hAnsi="Times New Roman" w:cs="Times New Roman"/>
          <w:szCs w:val="24"/>
        </w:rPr>
        <w:tab/>
        <w:t>(5) the course for which an equivalency transfer is requested is to be a course taught at graduate level and may be used as an equivalent for credits of course work only.</w:t>
      </w:r>
    </w:p>
    <w:p w14:paraId="4573201D" w14:textId="67F12CC5" w:rsidR="0077272A" w:rsidRDefault="00A755C1" w:rsidP="00A755C1">
      <w:pPr>
        <w:spacing w:line="276" w:lineRule="auto"/>
        <w:jc w:val="both"/>
        <w:rPr>
          <w:rFonts w:ascii="Times New Roman" w:hAnsi="Times New Roman" w:cs="Times New Roman"/>
          <w:szCs w:val="24"/>
        </w:rPr>
      </w:pPr>
      <w:r w:rsidRPr="00A755C1">
        <w:rPr>
          <w:rFonts w:ascii="Times New Roman" w:hAnsi="Times New Roman" w:cs="Times New Roman"/>
          <w:szCs w:val="24"/>
        </w:rPr>
        <w:lastRenderedPageBreak/>
        <w:tab/>
        <w:t>In addition to the criteria according to paragraph one, the Dean, with the approval of the Faculty Committee, may prescribe criteria, methods, and details for equivalent course and credit transfer in addition to those provided in paragraph one, by way of an announcement of the Faculty and a report to the Rector.”</w:t>
      </w:r>
    </w:p>
    <w:p w14:paraId="2A4F7316" w14:textId="77777777" w:rsidR="00A755C1" w:rsidRDefault="00A755C1" w:rsidP="00A755C1">
      <w:pPr>
        <w:spacing w:line="276" w:lineRule="auto"/>
        <w:jc w:val="both"/>
        <w:rPr>
          <w:rFonts w:ascii="Times New Roman" w:hAnsi="Times New Roman" w:cs="Times New Roman"/>
          <w:szCs w:val="24"/>
        </w:rPr>
      </w:pPr>
    </w:p>
    <w:p w14:paraId="63BF02D2" w14:textId="77777777" w:rsidR="00A755C1" w:rsidRPr="00F944CD" w:rsidRDefault="0077272A" w:rsidP="00A755C1">
      <w:pPr>
        <w:spacing w:line="320" w:lineRule="exact"/>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b/>
          <w:bCs/>
          <w:szCs w:val="24"/>
        </w:rPr>
        <w:t xml:space="preserve">Article 6. </w:t>
      </w:r>
      <w:r w:rsidR="00A755C1" w:rsidRPr="00F944CD">
        <w:rPr>
          <w:rFonts w:ascii="Times New Roman" w:hAnsi="Times New Roman" w:cs="Times New Roman"/>
          <w:szCs w:val="24"/>
        </w:rPr>
        <w:t>The content of Article 43 of the Thammasat University Regulations on Graduate Education B.E. 2561 (2018) will be repealed and replaced with the following:</w:t>
      </w:r>
    </w:p>
    <w:p w14:paraId="31DC271A" w14:textId="77777777" w:rsidR="00A755C1" w:rsidRPr="00F944CD" w:rsidRDefault="00A755C1" w:rsidP="00A755C1">
      <w:pPr>
        <w:spacing w:line="320" w:lineRule="exact"/>
        <w:jc w:val="both"/>
        <w:rPr>
          <w:rFonts w:ascii="Times New Roman" w:hAnsi="Times New Roman" w:cs="Times New Roman"/>
          <w:szCs w:val="24"/>
        </w:rPr>
      </w:pPr>
      <w:r w:rsidRPr="00F944CD">
        <w:rPr>
          <w:rFonts w:ascii="Times New Roman" w:hAnsi="Times New Roman" w:cs="Times New Roman"/>
          <w:szCs w:val="24"/>
        </w:rPr>
        <w:tab/>
        <w:t>“</w:t>
      </w:r>
      <w:r w:rsidRPr="00F944CD">
        <w:rPr>
          <w:rFonts w:ascii="Times New Roman" w:hAnsi="Times New Roman" w:cs="Times New Roman"/>
          <w:b/>
          <w:bCs/>
          <w:szCs w:val="24"/>
        </w:rPr>
        <w:t>Article 43.</w:t>
      </w:r>
      <w:r w:rsidRPr="00F944CD">
        <w:rPr>
          <w:rFonts w:ascii="Times New Roman" w:hAnsi="Times New Roman" w:cs="Times New Roman"/>
          <w:szCs w:val="24"/>
        </w:rPr>
        <w:t xml:space="preserve">  The Dean, with the approval of the Faculty Committee, is the person with the power to authorise an equivalency transfer and a course and credit transfer pursuant to this Chapter.”</w:t>
      </w:r>
    </w:p>
    <w:p w14:paraId="33EE4C7E" w14:textId="6AFF6B29" w:rsidR="00F70807" w:rsidRPr="00666D78" w:rsidRDefault="00F70807" w:rsidP="00A755C1">
      <w:pPr>
        <w:spacing w:line="276" w:lineRule="auto"/>
        <w:jc w:val="both"/>
        <w:rPr>
          <w:rFonts w:ascii="Times New Roman" w:hAnsi="Times New Roman" w:cs="Times New Roman"/>
          <w:szCs w:val="24"/>
        </w:rPr>
      </w:pPr>
    </w:p>
    <w:p w14:paraId="3F2F61F6" w14:textId="77777777" w:rsidR="00A755C1" w:rsidRPr="00A755C1" w:rsidRDefault="00C30647" w:rsidP="00A755C1">
      <w:pPr>
        <w:spacing w:line="276" w:lineRule="auto"/>
        <w:jc w:val="both"/>
        <w:rPr>
          <w:rFonts w:ascii="Times New Roman" w:hAnsi="Times New Roman" w:cs="Times New Roman"/>
          <w:szCs w:val="24"/>
        </w:rPr>
      </w:pPr>
      <w:r w:rsidRPr="00666D78">
        <w:rPr>
          <w:rFonts w:ascii="Times New Roman" w:hAnsi="Times New Roman" w:cs="Times New Roman"/>
          <w:b/>
          <w:szCs w:val="24"/>
        </w:rPr>
        <w:tab/>
        <w:t>Article</w:t>
      </w:r>
      <w:r w:rsidR="00232D5B" w:rsidRPr="00666D78">
        <w:rPr>
          <w:rFonts w:ascii="Times New Roman" w:hAnsi="Times New Roman" w:cs="Times New Roman"/>
          <w:b/>
          <w:szCs w:val="24"/>
        </w:rPr>
        <w:t xml:space="preserve"> </w:t>
      </w:r>
      <w:r w:rsidR="005C7A17" w:rsidRPr="00666D78">
        <w:rPr>
          <w:rFonts w:ascii="Times New Roman" w:hAnsi="Times New Roman" w:cs="Times New Roman"/>
          <w:b/>
          <w:szCs w:val="24"/>
        </w:rPr>
        <w:t>7</w:t>
      </w:r>
      <w:r w:rsidR="00232D5B" w:rsidRPr="00666D78">
        <w:rPr>
          <w:rFonts w:ascii="Times New Roman" w:hAnsi="Times New Roman" w:cs="Times New Roman"/>
          <w:b/>
          <w:szCs w:val="24"/>
        </w:rPr>
        <w:t>.</w:t>
      </w:r>
      <w:r w:rsidR="00232D5B" w:rsidRPr="00666D78">
        <w:rPr>
          <w:rFonts w:ascii="Times New Roman" w:hAnsi="Times New Roman" w:cs="Times New Roman"/>
          <w:szCs w:val="24"/>
        </w:rPr>
        <w:t xml:space="preserve"> </w:t>
      </w:r>
      <w:r w:rsidR="005C7A17" w:rsidRPr="00666D78">
        <w:rPr>
          <w:rFonts w:ascii="Times New Roman" w:hAnsi="Times New Roman" w:cs="Times New Roman"/>
          <w:szCs w:val="24"/>
        </w:rPr>
        <w:t xml:space="preserve"> </w:t>
      </w:r>
      <w:r w:rsidR="00A755C1" w:rsidRPr="00A755C1">
        <w:rPr>
          <w:rFonts w:ascii="Times New Roman" w:hAnsi="Times New Roman" w:cs="Times New Roman"/>
          <w:szCs w:val="24"/>
        </w:rPr>
        <w:t>The content of Article 45 of the Thammasat University Regulations on Graduate Education B.E. 2561 (2018) will be repealed and replaced with the following:</w:t>
      </w:r>
    </w:p>
    <w:p w14:paraId="17CE0092" w14:textId="77777777" w:rsidR="00A755C1" w:rsidRPr="00A755C1" w:rsidRDefault="00A755C1" w:rsidP="00A755C1">
      <w:pPr>
        <w:spacing w:line="276" w:lineRule="auto"/>
        <w:jc w:val="both"/>
        <w:rPr>
          <w:rFonts w:ascii="Times New Roman" w:hAnsi="Times New Roman" w:cs="Times New Roman"/>
          <w:szCs w:val="24"/>
        </w:rPr>
      </w:pPr>
      <w:r w:rsidRPr="00A755C1">
        <w:rPr>
          <w:rFonts w:ascii="Times New Roman" w:hAnsi="Times New Roman" w:cs="Times New Roman"/>
          <w:szCs w:val="24"/>
        </w:rPr>
        <w:tab/>
        <w:t>“</w:t>
      </w:r>
      <w:r w:rsidRPr="00A755C1">
        <w:rPr>
          <w:rFonts w:ascii="Times New Roman" w:hAnsi="Times New Roman" w:cs="Times New Roman"/>
          <w:b/>
          <w:bCs/>
          <w:szCs w:val="24"/>
        </w:rPr>
        <w:t>Article 45.</w:t>
      </w:r>
      <w:r w:rsidRPr="00A755C1">
        <w:rPr>
          <w:rFonts w:ascii="Times New Roman" w:hAnsi="Times New Roman" w:cs="Times New Roman"/>
          <w:szCs w:val="24"/>
        </w:rPr>
        <w:t xml:space="preserve">  Equivalency transfer of knowledge and the awarding of credits for education outside of the system or informal education or practical training in an establishment that has entered into a collaboration with the University for equivalency transfer for, in total, not more than one third of the total number of credits of a graduate Programme for which equivalency is requested and that is to have a study period in the Programme which is to receive the equivalency transfer of not less than one academic year before the student will have the right to graduate, may be made pursuant to criteria and methods that the Rector, with the approval of the University Executive Committee, shall prescribe by way of an announcement of the University, and the letters ‘ACC’ will be recorded for a course for which authorisation has been given for such equivalency transfer of knowledge.</w:t>
      </w:r>
    </w:p>
    <w:p w14:paraId="17DB1A18" w14:textId="47AA81DC" w:rsidR="00A755C1" w:rsidRDefault="00A755C1" w:rsidP="00A755C1">
      <w:pPr>
        <w:spacing w:line="276" w:lineRule="auto"/>
        <w:jc w:val="both"/>
        <w:rPr>
          <w:rFonts w:ascii="Times New Roman" w:hAnsi="Times New Roman" w:cs="Times New Roman"/>
          <w:szCs w:val="24"/>
        </w:rPr>
      </w:pPr>
      <w:r w:rsidRPr="00A755C1">
        <w:rPr>
          <w:rFonts w:ascii="Times New Roman" w:hAnsi="Times New Roman" w:cs="Times New Roman"/>
          <w:szCs w:val="24"/>
        </w:rPr>
        <w:tab/>
        <w:t>A Faculty may proceed pursuant to paragraph one by conducting a written test or practical examination for the equivalency transfer or by consideration by using the evaluation of the practical training of the agency.</w:t>
      </w:r>
      <w:r w:rsidR="00203DFF">
        <w:rPr>
          <w:rFonts w:ascii="Times New Roman" w:hAnsi="Times New Roman" w:cs="Times New Roman"/>
          <w:szCs w:val="24"/>
        </w:rPr>
        <w:t>”</w:t>
      </w:r>
    </w:p>
    <w:p w14:paraId="414D15A2" w14:textId="77777777" w:rsidR="00A755C1" w:rsidRDefault="00A755C1" w:rsidP="00A755C1">
      <w:pPr>
        <w:spacing w:line="276" w:lineRule="auto"/>
        <w:jc w:val="both"/>
        <w:rPr>
          <w:rFonts w:ascii="Times New Roman" w:hAnsi="Times New Roman" w:cs="Times New Roman"/>
          <w:szCs w:val="24"/>
        </w:rPr>
      </w:pPr>
    </w:p>
    <w:p w14:paraId="44A2AF1D" w14:textId="5154347A" w:rsidR="00C61760" w:rsidRDefault="00A755C1" w:rsidP="00A755C1">
      <w:pPr>
        <w:spacing w:line="276" w:lineRule="auto"/>
        <w:jc w:val="both"/>
        <w:rPr>
          <w:rFonts w:ascii="Times New Roman" w:hAnsi="Times New Roman" w:cs="Times New Roman"/>
          <w:b/>
          <w:szCs w:val="24"/>
        </w:rPr>
      </w:pPr>
      <w:r>
        <w:rPr>
          <w:rFonts w:ascii="Times New Roman" w:hAnsi="Times New Roman" w:cs="Times New Roman"/>
          <w:szCs w:val="24"/>
        </w:rPr>
        <w:tab/>
      </w:r>
      <w:r>
        <w:rPr>
          <w:rFonts w:ascii="Times New Roman" w:hAnsi="Times New Roman" w:cs="Times New Roman"/>
          <w:b/>
          <w:bCs/>
          <w:szCs w:val="24"/>
        </w:rPr>
        <w:t xml:space="preserve">Article 8. </w:t>
      </w:r>
      <w:r>
        <w:rPr>
          <w:rFonts w:ascii="Times New Roman" w:hAnsi="Times New Roman" w:cs="Times New Roman"/>
          <w:szCs w:val="24"/>
        </w:rPr>
        <w:t xml:space="preserve"> </w:t>
      </w:r>
      <w:r w:rsidRPr="00A755C1">
        <w:rPr>
          <w:rFonts w:ascii="Times New Roman" w:hAnsi="Times New Roman" w:cs="Times New Roman"/>
          <w:szCs w:val="24"/>
        </w:rPr>
        <w:t>The following will be added as Chapter 8/1 Transferring Courses and Credits, Article 45/1, Article 45/2 and Article 45/3 of the Thammasat University Regulations on Graduate Education B.E. 2561 (2018):</w:t>
      </w:r>
    </w:p>
    <w:p w14:paraId="48A1BF7C" w14:textId="4DA054A9" w:rsidR="002F7072" w:rsidRDefault="002F7072" w:rsidP="00A755C1">
      <w:pPr>
        <w:spacing w:line="276" w:lineRule="auto"/>
        <w:jc w:val="center"/>
        <w:rPr>
          <w:rFonts w:ascii="Times New Roman" w:hAnsi="Times New Roman" w:cs="Times New Roman"/>
          <w:b/>
          <w:szCs w:val="24"/>
        </w:rPr>
      </w:pPr>
    </w:p>
    <w:p w14:paraId="57754AD6" w14:textId="77777777" w:rsidR="00A755C1" w:rsidRPr="00A755C1" w:rsidRDefault="00A755C1" w:rsidP="00A755C1">
      <w:pPr>
        <w:spacing w:line="276" w:lineRule="auto"/>
        <w:jc w:val="center"/>
        <w:rPr>
          <w:rFonts w:ascii="Times New Roman" w:hAnsi="Times New Roman" w:cs="Times New Roman"/>
          <w:b/>
          <w:szCs w:val="24"/>
        </w:rPr>
      </w:pPr>
      <w:r w:rsidRPr="00A755C1">
        <w:rPr>
          <w:rFonts w:ascii="Times New Roman" w:hAnsi="Times New Roman" w:cs="Times New Roman"/>
          <w:b/>
          <w:szCs w:val="24"/>
        </w:rPr>
        <w:t>“Chapter 8/1</w:t>
      </w:r>
    </w:p>
    <w:p w14:paraId="49C4E40F" w14:textId="68E78ECA" w:rsidR="00A755C1" w:rsidRPr="00A755C1" w:rsidRDefault="00A755C1" w:rsidP="00A755C1">
      <w:pPr>
        <w:spacing w:line="276" w:lineRule="auto"/>
        <w:jc w:val="center"/>
        <w:rPr>
          <w:rFonts w:ascii="Times New Roman" w:hAnsi="Times New Roman" w:cs="Times New Roman"/>
          <w:bCs/>
          <w:szCs w:val="24"/>
        </w:rPr>
      </w:pPr>
      <w:r w:rsidRPr="00A755C1">
        <w:rPr>
          <w:rFonts w:ascii="Times New Roman" w:hAnsi="Times New Roman" w:cs="Times New Roman"/>
          <w:bCs/>
          <w:szCs w:val="24"/>
        </w:rPr>
        <w:t>Transferring Courses and Credits</w:t>
      </w:r>
    </w:p>
    <w:p w14:paraId="216DF801" w14:textId="77777777" w:rsidR="00A755C1" w:rsidRPr="00A755C1" w:rsidRDefault="00A755C1" w:rsidP="00A755C1">
      <w:pPr>
        <w:spacing w:line="276" w:lineRule="auto"/>
        <w:jc w:val="center"/>
        <w:rPr>
          <w:rFonts w:ascii="Times New Roman" w:hAnsi="Times New Roman" w:cs="Times New Roman"/>
          <w:bCs/>
          <w:szCs w:val="24"/>
        </w:rPr>
      </w:pPr>
      <w:r w:rsidRPr="00A755C1">
        <w:rPr>
          <w:rFonts w:ascii="Times New Roman" w:hAnsi="Times New Roman" w:cs="Times New Roman"/>
          <w:bCs/>
          <w:szCs w:val="24"/>
        </w:rPr>
        <w:t>---</w:t>
      </w:r>
    </w:p>
    <w:p w14:paraId="12D00F10" w14:textId="77777777" w:rsidR="00A755C1" w:rsidRPr="00A755C1" w:rsidRDefault="00A755C1" w:rsidP="00A755C1">
      <w:pPr>
        <w:spacing w:line="276" w:lineRule="auto"/>
        <w:jc w:val="both"/>
        <w:rPr>
          <w:rFonts w:ascii="Times New Roman" w:hAnsi="Times New Roman" w:cs="Times New Roman"/>
          <w:b/>
          <w:szCs w:val="24"/>
        </w:rPr>
      </w:pPr>
    </w:p>
    <w:p w14:paraId="52DEA457" w14:textId="77777777" w:rsidR="00A755C1" w:rsidRPr="00A755C1" w:rsidRDefault="00A755C1" w:rsidP="00A755C1">
      <w:pPr>
        <w:spacing w:line="276" w:lineRule="auto"/>
        <w:jc w:val="both"/>
        <w:rPr>
          <w:rFonts w:ascii="Times New Roman" w:hAnsi="Times New Roman" w:cs="Times New Roman"/>
          <w:bCs/>
          <w:szCs w:val="24"/>
        </w:rPr>
      </w:pPr>
      <w:r w:rsidRPr="00A755C1">
        <w:rPr>
          <w:rFonts w:ascii="Times New Roman" w:hAnsi="Times New Roman" w:cs="Times New Roman"/>
          <w:b/>
          <w:szCs w:val="24"/>
        </w:rPr>
        <w:tab/>
        <w:t xml:space="preserve">Article 45/1.  </w:t>
      </w:r>
      <w:r w:rsidRPr="00A755C1">
        <w:rPr>
          <w:rFonts w:ascii="Times New Roman" w:hAnsi="Times New Roman" w:cs="Times New Roman"/>
          <w:bCs/>
          <w:szCs w:val="24"/>
        </w:rPr>
        <w:t>A student may request to transfer a course and credits from education on the following programmes to become a course on the Programme on which he or she is studying:</w:t>
      </w:r>
    </w:p>
    <w:p w14:paraId="42537B0B" w14:textId="072758A2" w:rsidR="00A755C1" w:rsidRPr="00A755C1" w:rsidRDefault="00A755C1" w:rsidP="00A755C1">
      <w:pPr>
        <w:spacing w:line="276" w:lineRule="auto"/>
        <w:jc w:val="both"/>
        <w:rPr>
          <w:rFonts w:ascii="Times New Roman" w:hAnsi="Times New Roman" w:cs="Times New Roman"/>
          <w:bCs/>
          <w:szCs w:val="24"/>
        </w:rPr>
      </w:pPr>
      <w:r w:rsidRPr="00A755C1">
        <w:rPr>
          <w:rFonts w:ascii="Times New Roman" w:hAnsi="Times New Roman" w:cs="Times New Roman"/>
          <w:bCs/>
          <w:szCs w:val="24"/>
        </w:rPr>
        <w:tab/>
        <w:t>(1) a programme of which the University is managing education or jointly managing education with another agency; or</w:t>
      </w:r>
    </w:p>
    <w:p w14:paraId="17A41BE2" w14:textId="0B7FE8AB" w:rsidR="00A755C1" w:rsidRPr="00A755C1" w:rsidRDefault="00A755C1" w:rsidP="00A755C1">
      <w:pPr>
        <w:spacing w:line="276" w:lineRule="auto"/>
        <w:jc w:val="both"/>
        <w:rPr>
          <w:rFonts w:ascii="Times New Roman" w:hAnsi="Times New Roman" w:cs="Times New Roman"/>
          <w:bCs/>
          <w:szCs w:val="24"/>
        </w:rPr>
      </w:pPr>
      <w:r w:rsidRPr="00A755C1">
        <w:rPr>
          <w:rFonts w:ascii="Times New Roman" w:hAnsi="Times New Roman" w:cs="Times New Roman"/>
          <w:bCs/>
          <w:szCs w:val="24"/>
        </w:rPr>
        <w:lastRenderedPageBreak/>
        <w:tab/>
        <w:t>(2) a master’s degree programme that is an extension of a graduate diploma educational Programme of the University in the same field of academia.</w:t>
      </w:r>
    </w:p>
    <w:p w14:paraId="0DCE5A23" w14:textId="77777777" w:rsidR="00A755C1" w:rsidRPr="00A755C1" w:rsidRDefault="00A755C1" w:rsidP="00A755C1">
      <w:pPr>
        <w:spacing w:line="276" w:lineRule="auto"/>
        <w:jc w:val="both"/>
        <w:rPr>
          <w:rFonts w:ascii="Times New Roman" w:hAnsi="Times New Roman" w:cs="Times New Roman"/>
          <w:bCs/>
          <w:szCs w:val="24"/>
        </w:rPr>
      </w:pPr>
    </w:p>
    <w:p w14:paraId="4064AA8F" w14:textId="77777777" w:rsidR="00A755C1" w:rsidRPr="00A755C1" w:rsidRDefault="00A755C1" w:rsidP="00A755C1">
      <w:pPr>
        <w:spacing w:line="276" w:lineRule="auto"/>
        <w:jc w:val="both"/>
        <w:rPr>
          <w:rFonts w:ascii="Times New Roman" w:hAnsi="Times New Roman" w:cs="Times New Roman"/>
          <w:bCs/>
          <w:szCs w:val="24"/>
        </w:rPr>
      </w:pPr>
      <w:r w:rsidRPr="00A755C1">
        <w:rPr>
          <w:rFonts w:ascii="Times New Roman" w:hAnsi="Times New Roman" w:cs="Times New Roman"/>
          <w:b/>
          <w:szCs w:val="24"/>
        </w:rPr>
        <w:tab/>
        <w:t xml:space="preserve">Article 45/2.  </w:t>
      </w:r>
      <w:r w:rsidRPr="00A755C1">
        <w:rPr>
          <w:rFonts w:ascii="Times New Roman" w:hAnsi="Times New Roman" w:cs="Times New Roman"/>
          <w:bCs/>
          <w:szCs w:val="24"/>
        </w:rPr>
        <w:t>A course and credit transfer will be in accordance with the following criteria:</w:t>
      </w:r>
    </w:p>
    <w:p w14:paraId="70F0127A" w14:textId="450D99DD" w:rsidR="00A755C1" w:rsidRPr="00A755C1" w:rsidRDefault="00A755C1" w:rsidP="00A755C1">
      <w:pPr>
        <w:spacing w:line="276" w:lineRule="auto"/>
        <w:jc w:val="both"/>
        <w:rPr>
          <w:rFonts w:ascii="Times New Roman" w:hAnsi="Times New Roman" w:cs="Times New Roman"/>
          <w:bCs/>
          <w:szCs w:val="24"/>
        </w:rPr>
      </w:pPr>
      <w:r w:rsidRPr="00A755C1">
        <w:rPr>
          <w:rFonts w:ascii="Times New Roman" w:hAnsi="Times New Roman" w:cs="Times New Roman"/>
          <w:bCs/>
          <w:szCs w:val="24"/>
        </w:rPr>
        <w:tab/>
        <w:t>(1) Courses and credits from education pursuant to Article 45/1(1) may be transferred in an unlimited number and specific courses (course work) may be transferred.</w:t>
      </w:r>
    </w:p>
    <w:p w14:paraId="4501CD0E" w14:textId="35D4953F" w:rsidR="00A755C1" w:rsidRPr="00A755C1" w:rsidRDefault="00A755C1" w:rsidP="00A755C1">
      <w:pPr>
        <w:spacing w:line="276" w:lineRule="auto"/>
        <w:jc w:val="both"/>
        <w:rPr>
          <w:rFonts w:ascii="Times New Roman" w:hAnsi="Times New Roman" w:cs="Times New Roman"/>
          <w:bCs/>
          <w:szCs w:val="24"/>
        </w:rPr>
      </w:pPr>
      <w:r w:rsidRPr="00A755C1">
        <w:rPr>
          <w:rFonts w:ascii="Times New Roman" w:hAnsi="Times New Roman" w:cs="Times New Roman"/>
          <w:bCs/>
          <w:szCs w:val="24"/>
        </w:rPr>
        <w:tab/>
        <w:t>(2) Courses and credits from education pursuant to Article 45/1(2) may be transferred in number that is no more than forty percent of the number of credits on the Programme on which the student is studying.</w:t>
      </w:r>
    </w:p>
    <w:p w14:paraId="712459F1" w14:textId="376E5C4B" w:rsidR="00A755C1" w:rsidRPr="00A755C1" w:rsidRDefault="00A755C1" w:rsidP="00A755C1">
      <w:pPr>
        <w:spacing w:line="276" w:lineRule="auto"/>
        <w:jc w:val="both"/>
        <w:rPr>
          <w:rFonts w:ascii="Times New Roman" w:hAnsi="Times New Roman" w:cs="Times New Roman"/>
          <w:bCs/>
          <w:szCs w:val="24"/>
        </w:rPr>
      </w:pPr>
      <w:r w:rsidRPr="00A755C1">
        <w:rPr>
          <w:rFonts w:ascii="Times New Roman" w:hAnsi="Times New Roman" w:cs="Times New Roman"/>
          <w:bCs/>
          <w:szCs w:val="24"/>
        </w:rPr>
        <w:tab/>
        <w:t>(3) If the transfer is of a compulsory course and credits of a Programme, the student is to have studied this not more than eight years previously.</w:t>
      </w:r>
    </w:p>
    <w:p w14:paraId="1A9B53CF" w14:textId="1FD76AE3" w:rsidR="00A755C1" w:rsidRPr="00A755C1" w:rsidRDefault="00A755C1" w:rsidP="00A755C1">
      <w:pPr>
        <w:spacing w:line="276" w:lineRule="auto"/>
        <w:jc w:val="both"/>
        <w:rPr>
          <w:rFonts w:ascii="Times New Roman" w:hAnsi="Times New Roman" w:cs="Times New Roman"/>
          <w:bCs/>
          <w:szCs w:val="24"/>
        </w:rPr>
      </w:pPr>
      <w:r w:rsidRPr="00A755C1">
        <w:rPr>
          <w:rFonts w:ascii="Times New Roman" w:hAnsi="Times New Roman" w:cs="Times New Roman"/>
          <w:bCs/>
          <w:szCs w:val="24"/>
        </w:rPr>
        <w:tab/>
        <w:t>(4) If the transfer is of an elective course and credits of the Programme, the student is to have studied this not more than ten years previously.</w:t>
      </w:r>
    </w:p>
    <w:p w14:paraId="53EAFD58" w14:textId="262C3E70" w:rsidR="00A755C1" w:rsidRPr="00A755C1" w:rsidRDefault="00A755C1" w:rsidP="00A755C1">
      <w:pPr>
        <w:spacing w:line="276" w:lineRule="auto"/>
        <w:jc w:val="both"/>
        <w:rPr>
          <w:rFonts w:ascii="Times New Roman" w:hAnsi="Times New Roman" w:cs="Times New Roman"/>
          <w:bCs/>
          <w:szCs w:val="24"/>
        </w:rPr>
      </w:pPr>
      <w:r w:rsidRPr="00A755C1">
        <w:rPr>
          <w:rFonts w:ascii="Times New Roman" w:hAnsi="Times New Roman" w:cs="Times New Roman"/>
          <w:bCs/>
          <w:szCs w:val="24"/>
        </w:rPr>
        <w:tab/>
        <w:t>(5) In the case of education at master’s degree level and graduate diploma level, the course and credits that will be transferred are required to have educational results of grade ‘C’ or higher or equivalent, or the letter ‘S’.</w:t>
      </w:r>
    </w:p>
    <w:p w14:paraId="79060E4E" w14:textId="0A641C77" w:rsidR="00A755C1" w:rsidRPr="00A755C1" w:rsidRDefault="00A755C1" w:rsidP="00A755C1">
      <w:pPr>
        <w:spacing w:line="276" w:lineRule="auto"/>
        <w:jc w:val="both"/>
        <w:rPr>
          <w:rFonts w:ascii="Times New Roman" w:hAnsi="Times New Roman" w:cs="Times New Roman"/>
          <w:bCs/>
          <w:szCs w:val="24"/>
        </w:rPr>
      </w:pPr>
      <w:r w:rsidRPr="00A755C1">
        <w:rPr>
          <w:rFonts w:ascii="Times New Roman" w:hAnsi="Times New Roman" w:cs="Times New Roman"/>
          <w:bCs/>
          <w:szCs w:val="24"/>
        </w:rPr>
        <w:tab/>
        <w:t>(6) In the case of education at doctoral degree level, the course and credits that will be transferred are required to have educational results of grade ‘B’ or higher or equivalent, or the letter ‘S’.</w:t>
      </w:r>
    </w:p>
    <w:p w14:paraId="785FB168" w14:textId="77777777" w:rsidR="00A755C1" w:rsidRPr="00A755C1" w:rsidRDefault="00A755C1" w:rsidP="00A755C1">
      <w:pPr>
        <w:spacing w:line="276" w:lineRule="auto"/>
        <w:jc w:val="both"/>
        <w:rPr>
          <w:rFonts w:ascii="Times New Roman" w:hAnsi="Times New Roman" w:cs="Times New Roman"/>
          <w:bCs/>
          <w:szCs w:val="24"/>
        </w:rPr>
      </w:pPr>
      <w:r w:rsidRPr="00A755C1">
        <w:rPr>
          <w:rFonts w:ascii="Times New Roman" w:hAnsi="Times New Roman" w:cs="Times New Roman"/>
          <w:bCs/>
          <w:szCs w:val="24"/>
        </w:rPr>
        <w:tab/>
        <w:t>In addition to the criteria pursuant to paragraph one, the Dean with approval of the Faculty Committee may prescribe criteria, methods and details for the transfer of courses and credits that are additional to those provided in paragraph one, by way of announcements of the University or announcements of the Faculty with a report to the Rector.</w:t>
      </w:r>
    </w:p>
    <w:p w14:paraId="0A25D25A" w14:textId="77777777" w:rsidR="00A755C1" w:rsidRPr="00A755C1" w:rsidRDefault="00A755C1" w:rsidP="00A755C1">
      <w:pPr>
        <w:spacing w:line="276" w:lineRule="auto"/>
        <w:jc w:val="both"/>
        <w:rPr>
          <w:rFonts w:ascii="Times New Roman" w:hAnsi="Times New Roman" w:cs="Times New Roman"/>
          <w:b/>
          <w:szCs w:val="24"/>
        </w:rPr>
      </w:pPr>
    </w:p>
    <w:p w14:paraId="68038C00" w14:textId="77777777" w:rsidR="00A755C1" w:rsidRPr="00A755C1" w:rsidRDefault="00A755C1" w:rsidP="00A755C1">
      <w:pPr>
        <w:spacing w:line="276" w:lineRule="auto"/>
        <w:jc w:val="both"/>
        <w:rPr>
          <w:rFonts w:ascii="Times New Roman" w:hAnsi="Times New Roman" w:cs="Times New Roman"/>
          <w:bCs/>
          <w:szCs w:val="24"/>
        </w:rPr>
      </w:pPr>
      <w:r w:rsidRPr="00A755C1">
        <w:rPr>
          <w:rFonts w:ascii="Times New Roman" w:hAnsi="Times New Roman" w:cs="Times New Roman"/>
          <w:b/>
          <w:szCs w:val="24"/>
        </w:rPr>
        <w:tab/>
        <w:t xml:space="preserve">Article 45/3.  </w:t>
      </w:r>
      <w:r w:rsidRPr="00A755C1">
        <w:rPr>
          <w:rFonts w:ascii="Times New Roman" w:hAnsi="Times New Roman" w:cs="Times New Roman"/>
          <w:bCs/>
          <w:szCs w:val="24"/>
        </w:rPr>
        <w:t>The educational results in courses for which authorisation has been granted for a course and credit transfer shall be recorded as follows:</w:t>
      </w:r>
    </w:p>
    <w:p w14:paraId="6B1EDCE0" w14:textId="3DA4C989" w:rsidR="00A755C1" w:rsidRPr="00A755C1" w:rsidRDefault="00A755C1" w:rsidP="00A755C1">
      <w:pPr>
        <w:spacing w:line="276" w:lineRule="auto"/>
        <w:jc w:val="both"/>
        <w:rPr>
          <w:rFonts w:ascii="Times New Roman" w:hAnsi="Times New Roman" w:cs="Times New Roman"/>
          <w:bCs/>
          <w:szCs w:val="24"/>
        </w:rPr>
      </w:pPr>
      <w:r w:rsidRPr="00A755C1">
        <w:rPr>
          <w:rFonts w:ascii="Times New Roman" w:hAnsi="Times New Roman" w:cs="Times New Roman"/>
          <w:bCs/>
          <w:szCs w:val="24"/>
        </w:rPr>
        <w:tab/>
        <w:t>(1) In the case of a transfer of a course pursuant to Article 45/1(1), the results will be recorded in accordance with the actual educational results.</w:t>
      </w:r>
    </w:p>
    <w:p w14:paraId="1ADCA938" w14:textId="5731A990" w:rsidR="00A755C1" w:rsidRPr="00A755C1" w:rsidRDefault="00A755C1" w:rsidP="00A755C1">
      <w:pPr>
        <w:spacing w:line="276" w:lineRule="auto"/>
        <w:jc w:val="both"/>
        <w:rPr>
          <w:rFonts w:ascii="Times New Roman" w:hAnsi="Times New Roman" w:cs="Times New Roman"/>
          <w:bCs/>
          <w:szCs w:val="24"/>
        </w:rPr>
      </w:pPr>
      <w:r w:rsidRPr="00A755C1">
        <w:rPr>
          <w:rFonts w:ascii="Times New Roman" w:hAnsi="Times New Roman" w:cs="Times New Roman"/>
          <w:bCs/>
          <w:szCs w:val="24"/>
        </w:rPr>
        <w:tab/>
        <w:t>(2) in the case of a transfer of a course pursuant to Article 45/1(2), the results will be recorded with the letters ‘ACC’.</w:t>
      </w:r>
      <w:r w:rsidR="009F25D7">
        <w:rPr>
          <w:rFonts w:ascii="Times New Roman" w:hAnsi="Times New Roman" w:cs="Times New Roman"/>
          <w:bCs/>
          <w:szCs w:val="24"/>
        </w:rPr>
        <w:t>”</w:t>
      </w:r>
    </w:p>
    <w:p w14:paraId="11CA64D2" w14:textId="13532B33" w:rsidR="002F7072" w:rsidRDefault="002F7072" w:rsidP="00666D78">
      <w:pPr>
        <w:spacing w:line="276" w:lineRule="auto"/>
        <w:jc w:val="both"/>
        <w:rPr>
          <w:rFonts w:ascii="Times New Roman" w:hAnsi="Times New Roman" w:cs="Times New Roman"/>
          <w:b/>
          <w:szCs w:val="24"/>
        </w:rPr>
      </w:pPr>
    </w:p>
    <w:p w14:paraId="010D4CDF" w14:textId="77777777" w:rsidR="00A755C1" w:rsidRPr="00A755C1" w:rsidRDefault="00A755C1" w:rsidP="00A755C1">
      <w:pPr>
        <w:spacing w:line="276" w:lineRule="auto"/>
        <w:jc w:val="both"/>
        <w:rPr>
          <w:rFonts w:ascii="Times New Roman" w:hAnsi="Times New Roman" w:cs="Times New Roman"/>
          <w:bCs/>
          <w:szCs w:val="24"/>
        </w:rPr>
      </w:pPr>
      <w:r>
        <w:rPr>
          <w:rFonts w:ascii="Times New Roman" w:hAnsi="Times New Roman" w:cs="Times New Roman"/>
          <w:b/>
          <w:szCs w:val="24"/>
        </w:rPr>
        <w:tab/>
      </w:r>
      <w:r w:rsidRPr="00A755C1">
        <w:rPr>
          <w:rFonts w:ascii="Times New Roman" w:hAnsi="Times New Roman" w:cs="Times New Roman"/>
          <w:b/>
          <w:szCs w:val="24"/>
        </w:rPr>
        <w:t xml:space="preserve">Article 9.  </w:t>
      </w:r>
      <w:r w:rsidRPr="00A755C1">
        <w:rPr>
          <w:rFonts w:ascii="Times New Roman" w:hAnsi="Times New Roman" w:cs="Times New Roman"/>
          <w:bCs/>
          <w:szCs w:val="24"/>
        </w:rPr>
        <w:t>The content of Article 46 of the Thammasat University Regulations on Graduate Education B.E. 2561 (2018) will be repealed and replaced with the following:</w:t>
      </w:r>
    </w:p>
    <w:p w14:paraId="764AC1FA" w14:textId="77777777" w:rsidR="00A755C1" w:rsidRPr="00A755C1" w:rsidRDefault="00A755C1" w:rsidP="00A755C1">
      <w:pPr>
        <w:spacing w:line="276" w:lineRule="auto"/>
        <w:jc w:val="both"/>
        <w:rPr>
          <w:rFonts w:ascii="Times New Roman" w:hAnsi="Times New Roman" w:cs="Times New Roman"/>
          <w:bCs/>
          <w:szCs w:val="24"/>
        </w:rPr>
      </w:pPr>
      <w:r w:rsidRPr="00A755C1">
        <w:rPr>
          <w:rFonts w:ascii="Times New Roman" w:hAnsi="Times New Roman" w:cs="Times New Roman"/>
          <w:bCs/>
          <w:szCs w:val="24"/>
        </w:rPr>
        <w:tab/>
        <w:t>“</w:t>
      </w:r>
      <w:r w:rsidRPr="00A755C1">
        <w:rPr>
          <w:rFonts w:ascii="Times New Roman" w:hAnsi="Times New Roman" w:cs="Times New Roman"/>
          <w:b/>
          <w:szCs w:val="24"/>
        </w:rPr>
        <w:t>Article 46.</w:t>
      </w:r>
      <w:r w:rsidRPr="00A755C1">
        <w:rPr>
          <w:rFonts w:ascii="Times New Roman" w:hAnsi="Times New Roman" w:cs="Times New Roman"/>
          <w:bCs/>
          <w:szCs w:val="24"/>
        </w:rPr>
        <w:t xml:space="preserve">  The Comprehensive Examination for students at master’s degree level will be in accordance with the following criteria and conditions:</w:t>
      </w:r>
    </w:p>
    <w:p w14:paraId="2D009227" w14:textId="72120D97" w:rsidR="00A755C1" w:rsidRPr="00A755C1" w:rsidRDefault="00A755C1" w:rsidP="00A755C1">
      <w:pPr>
        <w:spacing w:line="276" w:lineRule="auto"/>
        <w:jc w:val="both"/>
        <w:rPr>
          <w:rFonts w:ascii="Times New Roman" w:hAnsi="Times New Roman" w:cs="Times New Roman"/>
          <w:bCs/>
          <w:szCs w:val="24"/>
        </w:rPr>
      </w:pPr>
      <w:r w:rsidRPr="00A755C1">
        <w:rPr>
          <w:rFonts w:ascii="Times New Roman" w:hAnsi="Times New Roman" w:cs="Times New Roman"/>
          <w:bCs/>
          <w:szCs w:val="24"/>
        </w:rPr>
        <w:tab/>
        <w:t>(1) The Comprehensive Examination may be made by written examination or oral examination or both, according to what is prescribed in the Programme Specification.</w:t>
      </w:r>
    </w:p>
    <w:p w14:paraId="09F3AAA1" w14:textId="39A04394" w:rsidR="00A755C1" w:rsidRPr="00A755C1" w:rsidRDefault="00A755C1" w:rsidP="00A755C1">
      <w:pPr>
        <w:spacing w:line="276" w:lineRule="auto"/>
        <w:jc w:val="both"/>
        <w:rPr>
          <w:rFonts w:ascii="Times New Roman" w:hAnsi="Times New Roman" w:cs="Times New Roman"/>
          <w:bCs/>
          <w:szCs w:val="24"/>
        </w:rPr>
      </w:pPr>
      <w:r w:rsidRPr="00A755C1">
        <w:rPr>
          <w:rFonts w:ascii="Times New Roman" w:hAnsi="Times New Roman" w:cs="Times New Roman"/>
          <w:bCs/>
          <w:szCs w:val="24"/>
        </w:rPr>
        <w:tab/>
        <w:t>(2) A student is to have the qualifications to take the Comprehensive Examination pursuant to the Programme Specification and shall file his or her intention to the Faculty in order to take the examination.</w:t>
      </w:r>
    </w:p>
    <w:p w14:paraId="63E58866" w14:textId="544D69FE" w:rsidR="00A755C1" w:rsidRPr="00A755C1" w:rsidRDefault="00A755C1" w:rsidP="00A755C1">
      <w:pPr>
        <w:spacing w:line="276" w:lineRule="auto"/>
        <w:jc w:val="both"/>
        <w:rPr>
          <w:rFonts w:ascii="Times New Roman" w:hAnsi="Times New Roman" w:cs="Times New Roman"/>
          <w:bCs/>
          <w:szCs w:val="24"/>
        </w:rPr>
      </w:pPr>
      <w:r w:rsidRPr="00A755C1">
        <w:rPr>
          <w:rFonts w:ascii="Times New Roman" w:hAnsi="Times New Roman" w:cs="Times New Roman"/>
          <w:bCs/>
          <w:szCs w:val="24"/>
        </w:rPr>
        <w:lastRenderedPageBreak/>
        <w:tab/>
        <w:t>(3) The Comprehensive Examination may be conducted no more than 3 times per academic year.</w:t>
      </w:r>
    </w:p>
    <w:p w14:paraId="77AEADCF" w14:textId="38E81E53" w:rsidR="00A755C1" w:rsidRPr="00A755C1" w:rsidRDefault="00A755C1" w:rsidP="00A755C1">
      <w:pPr>
        <w:spacing w:line="276" w:lineRule="auto"/>
        <w:jc w:val="both"/>
        <w:rPr>
          <w:rFonts w:ascii="Times New Roman" w:hAnsi="Times New Roman" w:cs="Times New Roman"/>
          <w:bCs/>
          <w:szCs w:val="24"/>
        </w:rPr>
      </w:pPr>
      <w:r w:rsidRPr="00A755C1">
        <w:rPr>
          <w:rFonts w:ascii="Times New Roman" w:hAnsi="Times New Roman" w:cs="Times New Roman"/>
          <w:bCs/>
          <w:szCs w:val="24"/>
        </w:rPr>
        <w:tab/>
        <w:t>(4) The Comprehensive Examination Committee, which the Dean shall appoint, has the duty of conducting the Comprehensive Examination and determining the results of the Comprehensive Examination.</w:t>
      </w:r>
    </w:p>
    <w:p w14:paraId="034EC89A" w14:textId="3BE022F4" w:rsidR="00A755C1" w:rsidRPr="00A755C1" w:rsidRDefault="00A755C1" w:rsidP="00A755C1">
      <w:pPr>
        <w:spacing w:line="276" w:lineRule="auto"/>
        <w:jc w:val="both"/>
        <w:rPr>
          <w:rFonts w:ascii="Times New Roman" w:hAnsi="Times New Roman" w:cs="Times New Roman"/>
          <w:bCs/>
          <w:szCs w:val="24"/>
        </w:rPr>
      </w:pPr>
      <w:r w:rsidRPr="00A755C1">
        <w:rPr>
          <w:rFonts w:ascii="Times New Roman" w:hAnsi="Times New Roman" w:cs="Times New Roman"/>
          <w:bCs/>
          <w:szCs w:val="24"/>
        </w:rPr>
        <w:tab/>
        <w:t>(5) The examination results will be either the letter ‘P’ (Pass) or the letter ‘N’ (Not Pass).</w:t>
      </w:r>
    </w:p>
    <w:p w14:paraId="78AD08FC" w14:textId="7738C0DC" w:rsidR="00A755C1" w:rsidRPr="00A755C1" w:rsidRDefault="00A755C1" w:rsidP="00A755C1">
      <w:pPr>
        <w:spacing w:line="276" w:lineRule="auto"/>
        <w:jc w:val="both"/>
        <w:rPr>
          <w:rFonts w:ascii="Times New Roman" w:hAnsi="Times New Roman" w:cs="Times New Roman"/>
          <w:bCs/>
          <w:szCs w:val="24"/>
        </w:rPr>
      </w:pPr>
      <w:r w:rsidRPr="00A755C1">
        <w:rPr>
          <w:rFonts w:ascii="Times New Roman" w:hAnsi="Times New Roman" w:cs="Times New Roman"/>
          <w:bCs/>
          <w:szCs w:val="24"/>
        </w:rPr>
        <w:tab/>
        <w:t>(6) A student shall pass the exam with a qualifying grade ‘P’ (Pass) in not more than 3 attempts, other than where the Programme Specification specifies a number of attempts lower than 3, in which case it will be in accordance with the Programme Specification. If a student is not able to pass, he or she shall have his or her name removed from the student register and the examination result of every attempt shall be recorded in the examination results transcript.</w:t>
      </w:r>
      <w:r w:rsidR="009F25D7">
        <w:rPr>
          <w:rFonts w:ascii="Times New Roman" w:hAnsi="Times New Roman" w:cs="Times New Roman"/>
          <w:bCs/>
          <w:szCs w:val="24"/>
        </w:rPr>
        <w:t>”</w:t>
      </w:r>
    </w:p>
    <w:p w14:paraId="65E964D3" w14:textId="45CDD449" w:rsidR="00A755C1" w:rsidRDefault="00A755C1" w:rsidP="00666D78">
      <w:pPr>
        <w:spacing w:line="276" w:lineRule="auto"/>
        <w:jc w:val="both"/>
        <w:rPr>
          <w:rFonts w:ascii="Times New Roman" w:hAnsi="Times New Roman" w:cs="Times New Roman"/>
          <w:b/>
          <w:szCs w:val="24"/>
        </w:rPr>
      </w:pPr>
    </w:p>
    <w:p w14:paraId="11B83180" w14:textId="77777777" w:rsidR="00A755C1" w:rsidRPr="00A755C1" w:rsidRDefault="00A755C1" w:rsidP="00A755C1">
      <w:pPr>
        <w:spacing w:line="276" w:lineRule="auto"/>
        <w:jc w:val="both"/>
        <w:rPr>
          <w:rFonts w:ascii="Times New Roman" w:hAnsi="Times New Roman" w:cs="Times New Roman"/>
          <w:bCs/>
          <w:szCs w:val="24"/>
        </w:rPr>
      </w:pPr>
      <w:r>
        <w:rPr>
          <w:rFonts w:ascii="Times New Roman" w:hAnsi="Times New Roman" w:cs="Times New Roman"/>
          <w:b/>
          <w:szCs w:val="24"/>
        </w:rPr>
        <w:tab/>
      </w:r>
      <w:r w:rsidRPr="00A755C1">
        <w:rPr>
          <w:rFonts w:ascii="Times New Roman" w:hAnsi="Times New Roman" w:cs="Times New Roman"/>
          <w:b/>
          <w:szCs w:val="24"/>
        </w:rPr>
        <w:t xml:space="preserve">Article 10.  </w:t>
      </w:r>
      <w:r w:rsidRPr="00A755C1">
        <w:rPr>
          <w:rFonts w:ascii="Times New Roman" w:hAnsi="Times New Roman" w:cs="Times New Roman"/>
          <w:bCs/>
          <w:szCs w:val="24"/>
        </w:rPr>
        <w:t>The content of Article 54 of the Thammasat University Regulations on Graduate Education B.E. 2561 (2018) will be repealed and replaced with the following:</w:t>
      </w:r>
    </w:p>
    <w:p w14:paraId="624FB292" w14:textId="77777777" w:rsidR="00A755C1" w:rsidRPr="00A755C1" w:rsidRDefault="00A755C1" w:rsidP="00A755C1">
      <w:pPr>
        <w:spacing w:line="276" w:lineRule="auto"/>
        <w:jc w:val="both"/>
        <w:rPr>
          <w:rFonts w:ascii="Times New Roman" w:hAnsi="Times New Roman" w:cs="Times New Roman"/>
          <w:bCs/>
          <w:szCs w:val="24"/>
        </w:rPr>
      </w:pPr>
      <w:r w:rsidRPr="00A755C1">
        <w:rPr>
          <w:rFonts w:ascii="Times New Roman" w:hAnsi="Times New Roman" w:cs="Times New Roman"/>
          <w:bCs/>
          <w:szCs w:val="24"/>
        </w:rPr>
        <w:tab/>
        <w:t>“</w:t>
      </w:r>
      <w:r w:rsidRPr="00A755C1">
        <w:rPr>
          <w:rFonts w:ascii="Times New Roman" w:hAnsi="Times New Roman" w:cs="Times New Roman"/>
          <w:b/>
          <w:szCs w:val="24"/>
        </w:rPr>
        <w:t>Article 54.</w:t>
      </w:r>
      <w:r w:rsidRPr="00A755C1">
        <w:rPr>
          <w:rFonts w:ascii="Times New Roman" w:hAnsi="Times New Roman" w:cs="Times New Roman"/>
          <w:bCs/>
          <w:szCs w:val="24"/>
        </w:rPr>
        <w:t xml:space="preserve">  A Thesis Examination is to have every member of the Thesis Examination Committee present for that examination to be deemed complete. If there is not full attendance of members, the examination shall be postponed. If the specification of the Programme does not prescribe otherwise, the examination may be conducted using a telecommunications system.</w:t>
      </w:r>
    </w:p>
    <w:p w14:paraId="0455C200" w14:textId="3F7F0D9D" w:rsidR="00A755C1" w:rsidRDefault="00A755C1" w:rsidP="00A755C1">
      <w:pPr>
        <w:spacing w:line="276" w:lineRule="auto"/>
        <w:jc w:val="both"/>
        <w:rPr>
          <w:rFonts w:ascii="Times New Roman" w:hAnsi="Times New Roman" w:cs="Times New Roman"/>
          <w:bCs/>
          <w:szCs w:val="24"/>
        </w:rPr>
      </w:pPr>
      <w:r w:rsidRPr="00A755C1">
        <w:rPr>
          <w:rFonts w:ascii="Times New Roman" w:hAnsi="Times New Roman" w:cs="Times New Roman"/>
          <w:bCs/>
          <w:szCs w:val="24"/>
        </w:rPr>
        <w:tab/>
        <w:t>In the event that there is a reason of necessity, the Dean may make an order to change the members of a Thesis Examination Committee or to appoint additional members.</w:t>
      </w:r>
      <w:r w:rsidR="009F25D7">
        <w:rPr>
          <w:rFonts w:ascii="Times New Roman" w:hAnsi="Times New Roman" w:cs="Times New Roman"/>
          <w:bCs/>
          <w:szCs w:val="24"/>
        </w:rPr>
        <w:t>”</w:t>
      </w:r>
    </w:p>
    <w:p w14:paraId="10CC0038" w14:textId="7D312082" w:rsidR="00A755C1" w:rsidRDefault="00A755C1" w:rsidP="00A755C1">
      <w:pPr>
        <w:spacing w:line="276" w:lineRule="auto"/>
        <w:jc w:val="both"/>
        <w:rPr>
          <w:rFonts w:ascii="Times New Roman" w:hAnsi="Times New Roman" w:cs="Times New Roman"/>
          <w:bCs/>
          <w:szCs w:val="24"/>
        </w:rPr>
      </w:pPr>
    </w:p>
    <w:p w14:paraId="178FF0E2" w14:textId="77777777" w:rsidR="00A755C1" w:rsidRPr="00A755C1" w:rsidRDefault="00A755C1" w:rsidP="00A755C1">
      <w:pPr>
        <w:spacing w:line="276" w:lineRule="auto"/>
        <w:jc w:val="both"/>
        <w:rPr>
          <w:rFonts w:ascii="Times New Roman" w:hAnsi="Times New Roman" w:cs="Times New Roman"/>
          <w:bCs/>
          <w:szCs w:val="24"/>
        </w:rPr>
      </w:pPr>
      <w:r>
        <w:rPr>
          <w:rFonts w:ascii="Times New Roman" w:hAnsi="Times New Roman" w:cs="Times New Roman"/>
          <w:bCs/>
          <w:szCs w:val="24"/>
        </w:rPr>
        <w:tab/>
      </w:r>
      <w:r w:rsidRPr="00A755C1">
        <w:rPr>
          <w:rFonts w:ascii="Times New Roman" w:hAnsi="Times New Roman" w:cs="Times New Roman"/>
          <w:b/>
          <w:szCs w:val="24"/>
        </w:rPr>
        <w:t>Article 11.</w:t>
      </w:r>
      <w:r w:rsidRPr="00A755C1">
        <w:rPr>
          <w:rFonts w:ascii="Times New Roman" w:hAnsi="Times New Roman" w:cs="Times New Roman"/>
          <w:bCs/>
          <w:szCs w:val="24"/>
        </w:rPr>
        <w:t xml:space="preserve">  The content of Article 59 of the Thammasat University Regulations on Graduate Education B.E. 2561 (2018) will be repealed and replaced with the following:</w:t>
      </w:r>
    </w:p>
    <w:p w14:paraId="0818D79C" w14:textId="77777777" w:rsidR="00A755C1" w:rsidRPr="00A755C1" w:rsidRDefault="00A755C1" w:rsidP="00A755C1">
      <w:pPr>
        <w:spacing w:line="276" w:lineRule="auto"/>
        <w:jc w:val="both"/>
        <w:rPr>
          <w:rFonts w:ascii="Times New Roman" w:hAnsi="Times New Roman" w:cs="Times New Roman"/>
          <w:bCs/>
          <w:szCs w:val="24"/>
        </w:rPr>
      </w:pPr>
      <w:r w:rsidRPr="00A755C1">
        <w:rPr>
          <w:rFonts w:ascii="Times New Roman" w:hAnsi="Times New Roman" w:cs="Times New Roman"/>
          <w:bCs/>
          <w:szCs w:val="24"/>
        </w:rPr>
        <w:tab/>
        <w:t>“</w:t>
      </w:r>
      <w:r w:rsidRPr="00A755C1">
        <w:rPr>
          <w:rFonts w:ascii="Times New Roman" w:hAnsi="Times New Roman" w:cs="Times New Roman"/>
          <w:b/>
          <w:szCs w:val="24"/>
        </w:rPr>
        <w:t>Article 59.</w:t>
      </w:r>
      <w:r w:rsidRPr="00A755C1">
        <w:rPr>
          <w:rFonts w:ascii="Times New Roman" w:hAnsi="Times New Roman" w:cs="Times New Roman"/>
          <w:bCs/>
          <w:szCs w:val="24"/>
        </w:rPr>
        <w:t xml:space="preserve">  An Independent Study or Independent Research Examination is to have every member of the Independent Study or Independent Research Examination Committee present for that examination to be deemed complete. If there is not full attendance of members, the examination shall be postponed. If the specification of the Programme does not prescribe otherwise, the examination may be conducted using a telecommunications system.</w:t>
      </w:r>
    </w:p>
    <w:p w14:paraId="3C14366B" w14:textId="5C881F78" w:rsidR="00A755C1" w:rsidRPr="00A755C1" w:rsidRDefault="00A755C1" w:rsidP="00A755C1">
      <w:pPr>
        <w:spacing w:line="276" w:lineRule="auto"/>
        <w:jc w:val="both"/>
        <w:rPr>
          <w:rFonts w:ascii="Times New Roman" w:hAnsi="Times New Roman" w:cs="Times New Roman"/>
          <w:bCs/>
          <w:szCs w:val="24"/>
        </w:rPr>
      </w:pPr>
      <w:r w:rsidRPr="00A755C1">
        <w:rPr>
          <w:rFonts w:ascii="Times New Roman" w:hAnsi="Times New Roman" w:cs="Times New Roman"/>
          <w:bCs/>
          <w:szCs w:val="24"/>
        </w:rPr>
        <w:tab/>
        <w:t>In the event that there is a reason of necessity, the Dean may make an order to change a member of an Independent Study or Independent Research Examination Committee or to appoint an additional member.</w:t>
      </w:r>
      <w:r w:rsidR="009F25D7">
        <w:rPr>
          <w:rFonts w:ascii="Times New Roman" w:hAnsi="Times New Roman" w:cs="Times New Roman"/>
          <w:bCs/>
          <w:szCs w:val="24"/>
        </w:rPr>
        <w:t>”</w:t>
      </w:r>
    </w:p>
    <w:p w14:paraId="6E7869EE" w14:textId="77777777" w:rsidR="00A755C1" w:rsidRPr="00A755C1" w:rsidRDefault="00A755C1" w:rsidP="00A755C1">
      <w:pPr>
        <w:spacing w:line="276" w:lineRule="auto"/>
        <w:jc w:val="both"/>
        <w:rPr>
          <w:rFonts w:ascii="Times New Roman" w:hAnsi="Times New Roman" w:cs="Times New Roman"/>
          <w:bCs/>
          <w:szCs w:val="24"/>
        </w:rPr>
      </w:pPr>
    </w:p>
    <w:p w14:paraId="1C84BF1B" w14:textId="77777777" w:rsidR="00A755C1" w:rsidRPr="00A755C1" w:rsidRDefault="00A755C1" w:rsidP="00A755C1">
      <w:pPr>
        <w:spacing w:line="276" w:lineRule="auto"/>
        <w:jc w:val="both"/>
        <w:rPr>
          <w:rFonts w:ascii="Times New Roman" w:hAnsi="Times New Roman" w:cs="Times New Roman"/>
          <w:bCs/>
          <w:szCs w:val="24"/>
        </w:rPr>
      </w:pPr>
      <w:r w:rsidRPr="00A755C1">
        <w:rPr>
          <w:rFonts w:ascii="Times New Roman" w:hAnsi="Times New Roman" w:cs="Times New Roman"/>
          <w:bCs/>
          <w:szCs w:val="24"/>
        </w:rPr>
        <w:tab/>
      </w:r>
      <w:r w:rsidRPr="00A755C1">
        <w:rPr>
          <w:rFonts w:ascii="Times New Roman" w:hAnsi="Times New Roman" w:cs="Times New Roman"/>
          <w:b/>
          <w:szCs w:val="24"/>
        </w:rPr>
        <w:t>Article 12.</w:t>
      </w:r>
      <w:r w:rsidRPr="00A755C1">
        <w:rPr>
          <w:rFonts w:ascii="Times New Roman" w:hAnsi="Times New Roman" w:cs="Times New Roman"/>
          <w:bCs/>
          <w:szCs w:val="24"/>
        </w:rPr>
        <w:t xml:space="preserve">  The content of Article 101 of the Thammasat University Regulations on Graduate Education B.E. 2561 (2018) will be repealed and replaced with the following:</w:t>
      </w:r>
    </w:p>
    <w:p w14:paraId="2BA43B29" w14:textId="77777777" w:rsidR="00A755C1" w:rsidRPr="00A755C1" w:rsidRDefault="00A755C1" w:rsidP="00A755C1">
      <w:pPr>
        <w:spacing w:line="276" w:lineRule="auto"/>
        <w:jc w:val="both"/>
        <w:rPr>
          <w:rFonts w:ascii="Times New Roman" w:hAnsi="Times New Roman" w:cs="Times New Roman"/>
          <w:bCs/>
          <w:szCs w:val="24"/>
        </w:rPr>
      </w:pPr>
      <w:r w:rsidRPr="00A755C1">
        <w:rPr>
          <w:rFonts w:ascii="Times New Roman" w:hAnsi="Times New Roman" w:cs="Times New Roman"/>
          <w:bCs/>
          <w:szCs w:val="24"/>
        </w:rPr>
        <w:tab/>
        <w:t>“</w:t>
      </w:r>
      <w:r w:rsidRPr="00A755C1">
        <w:rPr>
          <w:rFonts w:ascii="Times New Roman" w:hAnsi="Times New Roman" w:cs="Times New Roman"/>
          <w:b/>
          <w:szCs w:val="24"/>
        </w:rPr>
        <w:t>Article 101.</w:t>
      </w:r>
      <w:r w:rsidRPr="00A755C1">
        <w:rPr>
          <w:rFonts w:ascii="Times New Roman" w:hAnsi="Times New Roman" w:cs="Times New Roman"/>
          <w:bCs/>
          <w:szCs w:val="24"/>
        </w:rPr>
        <w:t xml:space="preserve">  The University may refund fees that a student has paid to the University in the following situations and at the following rates:</w:t>
      </w:r>
    </w:p>
    <w:p w14:paraId="567E7141" w14:textId="2CEEC854" w:rsidR="00A755C1" w:rsidRPr="00A755C1" w:rsidRDefault="00A755C1" w:rsidP="00A755C1">
      <w:pPr>
        <w:spacing w:line="276" w:lineRule="auto"/>
        <w:jc w:val="both"/>
        <w:rPr>
          <w:rFonts w:ascii="Times New Roman" w:hAnsi="Times New Roman" w:cs="Times New Roman"/>
          <w:bCs/>
          <w:szCs w:val="24"/>
        </w:rPr>
      </w:pPr>
      <w:r w:rsidRPr="00A755C1">
        <w:rPr>
          <w:rFonts w:ascii="Times New Roman" w:hAnsi="Times New Roman" w:cs="Times New Roman"/>
          <w:bCs/>
          <w:szCs w:val="24"/>
        </w:rPr>
        <w:tab/>
        <w:t>(1) a student who resigns or who takes a leave of absence from education before the opening day of the Semester has the right to request a refund in the full amount of that which he or she has paid;</w:t>
      </w:r>
    </w:p>
    <w:p w14:paraId="4BCBB0E4" w14:textId="5F881847" w:rsidR="00A755C1" w:rsidRPr="00A755C1" w:rsidRDefault="00A755C1" w:rsidP="00A755C1">
      <w:pPr>
        <w:spacing w:line="276" w:lineRule="auto"/>
        <w:jc w:val="both"/>
        <w:rPr>
          <w:rFonts w:ascii="Times New Roman" w:hAnsi="Times New Roman" w:cs="Times New Roman"/>
          <w:bCs/>
          <w:szCs w:val="24"/>
        </w:rPr>
      </w:pPr>
      <w:r w:rsidRPr="00A755C1">
        <w:rPr>
          <w:rFonts w:ascii="Times New Roman" w:hAnsi="Times New Roman" w:cs="Times New Roman"/>
          <w:bCs/>
          <w:szCs w:val="24"/>
        </w:rPr>
        <w:lastRenderedPageBreak/>
        <w:tab/>
        <w:t>(2) a student who resigns or who takes a leave of absence from education during the 14 days from and including the opening day of a Semester has the right to a refund for half the amount paid;</w:t>
      </w:r>
    </w:p>
    <w:p w14:paraId="604DF258" w14:textId="03184CDD" w:rsidR="00A755C1" w:rsidRPr="00A755C1" w:rsidRDefault="00A755C1" w:rsidP="00A755C1">
      <w:pPr>
        <w:spacing w:line="276" w:lineRule="auto"/>
        <w:jc w:val="both"/>
        <w:rPr>
          <w:rFonts w:ascii="Times New Roman" w:hAnsi="Times New Roman" w:cs="Times New Roman"/>
          <w:bCs/>
          <w:szCs w:val="24"/>
        </w:rPr>
      </w:pPr>
      <w:r w:rsidRPr="00A755C1">
        <w:rPr>
          <w:rFonts w:ascii="Times New Roman" w:hAnsi="Times New Roman" w:cs="Times New Roman"/>
          <w:bCs/>
          <w:szCs w:val="24"/>
        </w:rPr>
        <w:tab/>
        <w:t>(3) a student who requests for withdrawal from a course because the University has closed a course on which he or she has enrolled will have the right to request a refund of the fees for that course and the fees for using educational equipment on that course in the full amount, other than in the case where the fees are paid in a single sum payment, when the student may not request a refund of the fees for the closed course;</w:t>
      </w:r>
    </w:p>
    <w:p w14:paraId="2956F9CE" w14:textId="5649716E" w:rsidR="00A755C1" w:rsidRPr="00A755C1" w:rsidRDefault="00A755C1" w:rsidP="00A755C1">
      <w:pPr>
        <w:spacing w:line="276" w:lineRule="auto"/>
        <w:jc w:val="both"/>
        <w:rPr>
          <w:rFonts w:ascii="Times New Roman" w:hAnsi="Times New Roman" w:cs="Times New Roman"/>
          <w:bCs/>
          <w:szCs w:val="24"/>
        </w:rPr>
      </w:pPr>
      <w:r w:rsidRPr="00A755C1">
        <w:rPr>
          <w:rFonts w:ascii="Times New Roman" w:hAnsi="Times New Roman" w:cs="Times New Roman"/>
          <w:bCs/>
          <w:szCs w:val="24"/>
        </w:rPr>
        <w:tab/>
        <w:t>(4) a student who requests for withdrawal from a course in which he or she is enrolled during the 14 days from and including the opening day of a Semester, or the 7 days from and including the opening day of a summer semester, will have the right to request a refund of the fees for that course and the fees for using educational equipment on that course for half the amount paid, other than in the case where the fees are paid in a single sum payment, when the student may not request a refund of the fees for the course from which he or she is withdrawing; and</w:t>
      </w:r>
    </w:p>
    <w:p w14:paraId="08BA1387" w14:textId="5A917D2D" w:rsidR="00A755C1" w:rsidRPr="00A755C1" w:rsidRDefault="00A755C1" w:rsidP="00A755C1">
      <w:pPr>
        <w:spacing w:line="276" w:lineRule="auto"/>
        <w:jc w:val="both"/>
        <w:rPr>
          <w:rFonts w:ascii="Times New Roman" w:hAnsi="Times New Roman" w:cs="Times New Roman"/>
          <w:bCs/>
          <w:szCs w:val="24"/>
        </w:rPr>
      </w:pPr>
      <w:r w:rsidRPr="00A755C1">
        <w:rPr>
          <w:rFonts w:ascii="Times New Roman" w:hAnsi="Times New Roman" w:cs="Times New Roman"/>
          <w:bCs/>
          <w:szCs w:val="24"/>
        </w:rPr>
        <w:tab/>
        <w:t>(5) a student who receives a student disciplinary penalty of suspension from education for the next Semester, but who has enrolled and paid fees for the Semester for which he or she has been suspended, has the right to request a refund in the full amount of that which he or she has paid.</w:t>
      </w:r>
    </w:p>
    <w:p w14:paraId="658BE4A7" w14:textId="77777777" w:rsidR="00A755C1" w:rsidRPr="00A755C1" w:rsidRDefault="00A755C1" w:rsidP="00A755C1">
      <w:pPr>
        <w:spacing w:line="276" w:lineRule="auto"/>
        <w:jc w:val="both"/>
        <w:rPr>
          <w:rFonts w:ascii="Times New Roman" w:hAnsi="Times New Roman" w:cs="Times New Roman"/>
          <w:bCs/>
          <w:szCs w:val="24"/>
        </w:rPr>
      </w:pPr>
      <w:r w:rsidRPr="00A755C1">
        <w:rPr>
          <w:rFonts w:ascii="Times New Roman" w:hAnsi="Times New Roman" w:cs="Times New Roman"/>
          <w:bCs/>
          <w:szCs w:val="24"/>
        </w:rPr>
        <w:tab/>
        <w:t xml:space="preserve">A student who wishes to request a refund of fees pursuant to paragraph one shall submit a request to the Faculty during the 30 days from and including the opening day of the Semester or summer semester. </w:t>
      </w:r>
    </w:p>
    <w:p w14:paraId="60B915F5" w14:textId="31F2FAA9" w:rsidR="00A755C1" w:rsidRPr="00A755C1" w:rsidRDefault="00A755C1" w:rsidP="00A755C1">
      <w:pPr>
        <w:spacing w:line="276" w:lineRule="auto"/>
        <w:jc w:val="both"/>
        <w:rPr>
          <w:rFonts w:ascii="Times New Roman" w:hAnsi="Times New Roman" w:cs="Times New Roman"/>
          <w:bCs/>
          <w:szCs w:val="24"/>
        </w:rPr>
      </w:pPr>
      <w:r w:rsidRPr="00A755C1">
        <w:rPr>
          <w:rFonts w:ascii="Times New Roman" w:hAnsi="Times New Roman" w:cs="Times New Roman"/>
          <w:bCs/>
          <w:szCs w:val="24"/>
        </w:rPr>
        <w:tab/>
        <w:t>Regarding exemptions of fines or reduction of fines, the Rector, on the recommendation of the Dean, has the power to consider an exemption of a fine or a reduction in a fine.</w:t>
      </w:r>
      <w:r w:rsidR="009F25D7">
        <w:rPr>
          <w:rFonts w:ascii="Times New Roman" w:hAnsi="Times New Roman" w:cs="Times New Roman"/>
          <w:bCs/>
          <w:szCs w:val="24"/>
        </w:rPr>
        <w:t>”</w:t>
      </w:r>
      <w:bookmarkStart w:id="0" w:name="_GoBack"/>
      <w:bookmarkEnd w:id="0"/>
    </w:p>
    <w:p w14:paraId="471E672F" w14:textId="74694F3C" w:rsidR="00A755C1" w:rsidRDefault="00A755C1" w:rsidP="00666D78">
      <w:pPr>
        <w:spacing w:line="276" w:lineRule="auto"/>
        <w:jc w:val="both"/>
        <w:rPr>
          <w:rFonts w:ascii="Times New Roman" w:hAnsi="Times New Roman" w:cs="Times New Roman"/>
          <w:b/>
          <w:szCs w:val="24"/>
        </w:rPr>
      </w:pPr>
    </w:p>
    <w:p w14:paraId="0711B6D9" w14:textId="77777777" w:rsidR="00A755C1" w:rsidRPr="00666D78" w:rsidRDefault="00A755C1" w:rsidP="00666D78">
      <w:pPr>
        <w:spacing w:line="276" w:lineRule="auto"/>
        <w:jc w:val="both"/>
        <w:rPr>
          <w:rFonts w:ascii="Times New Roman" w:hAnsi="Times New Roman" w:cs="Times New Roman"/>
          <w:b/>
          <w:szCs w:val="24"/>
        </w:rPr>
      </w:pPr>
    </w:p>
    <w:p w14:paraId="47D88078" w14:textId="2E573E24" w:rsidR="00C6414B" w:rsidRPr="00666D78" w:rsidRDefault="00C6414B"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r>
      <w:r w:rsidRPr="00666D78">
        <w:rPr>
          <w:rFonts w:ascii="Times New Roman" w:hAnsi="Times New Roman" w:cs="Times New Roman"/>
          <w:szCs w:val="24"/>
        </w:rPr>
        <w:tab/>
      </w:r>
      <w:r w:rsidR="00A755C1">
        <w:rPr>
          <w:rFonts w:ascii="Times New Roman" w:hAnsi="Times New Roman" w:cs="Times New Roman"/>
          <w:szCs w:val="24"/>
        </w:rPr>
        <w:t xml:space="preserve">     </w:t>
      </w:r>
      <w:r w:rsidR="00A755C1" w:rsidRPr="00F944CD">
        <w:rPr>
          <w:rFonts w:ascii="Times New Roman" w:hAnsi="Times New Roman" w:cs="Times New Roman"/>
          <w:szCs w:val="24"/>
        </w:rPr>
        <w:t>Announced on 6 May B.E. 2564 (2021)</w:t>
      </w:r>
    </w:p>
    <w:p w14:paraId="57C5483F" w14:textId="77777777" w:rsidR="00C6414B" w:rsidRPr="00666D78" w:rsidRDefault="00C6414B" w:rsidP="00666D78">
      <w:pPr>
        <w:spacing w:line="276" w:lineRule="auto"/>
        <w:jc w:val="both"/>
        <w:rPr>
          <w:rFonts w:ascii="Times New Roman" w:hAnsi="Times New Roman" w:cs="Times New Roman"/>
          <w:szCs w:val="24"/>
        </w:rPr>
      </w:pPr>
    </w:p>
    <w:p w14:paraId="46716BC2" w14:textId="77777777" w:rsidR="00C6414B" w:rsidRPr="00666D78" w:rsidRDefault="00C6414B"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w:t>
      </w:r>
      <w:r w:rsidRPr="00666D78">
        <w:rPr>
          <w:rFonts w:ascii="Times New Roman" w:hAnsi="Times New Roman" w:cs="Times New Roman"/>
          <w:i/>
          <w:iCs/>
          <w:szCs w:val="24"/>
        </w:rPr>
        <w:t>Signature</w:t>
      </w:r>
      <w:r w:rsidRPr="00666D78">
        <w:rPr>
          <w:rFonts w:ascii="Times New Roman" w:hAnsi="Times New Roman" w:cs="Times New Roman"/>
          <w:szCs w:val="24"/>
        </w:rPr>
        <w:t>]</w:t>
      </w:r>
    </w:p>
    <w:p w14:paraId="083FC746" w14:textId="77777777" w:rsidR="00C6414B" w:rsidRPr="00666D78" w:rsidRDefault="00C6414B" w:rsidP="00666D78">
      <w:pPr>
        <w:spacing w:line="276" w:lineRule="auto"/>
        <w:jc w:val="center"/>
        <w:rPr>
          <w:rFonts w:ascii="Times New Roman" w:hAnsi="Times New Roman" w:cs="Times New Roman"/>
          <w:szCs w:val="24"/>
        </w:rPr>
      </w:pPr>
    </w:p>
    <w:p w14:paraId="11CC7B16" w14:textId="77777777" w:rsidR="00C6414B" w:rsidRPr="00666D78" w:rsidRDefault="00C6414B"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 xml:space="preserve">(Adjunct Professor </w:t>
      </w:r>
      <w:proofErr w:type="spellStart"/>
      <w:r w:rsidRPr="00666D78">
        <w:rPr>
          <w:rFonts w:ascii="Times New Roman" w:hAnsi="Times New Roman" w:cs="Times New Roman"/>
          <w:szCs w:val="24"/>
        </w:rPr>
        <w:t>Noranit</w:t>
      </w:r>
      <w:proofErr w:type="spellEnd"/>
      <w:r w:rsidRPr="00666D78">
        <w:rPr>
          <w:rFonts w:ascii="Times New Roman" w:hAnsi="Times New Roman" w:cs="Times New Roman"/>
          <w:szCs w:val="24"/>
        </w:rPr>
        <w:t xml:space="preserve"> </w:t>
      </w:r>
      <w:proofErr w:type="spellStart"/>
      <w:r w:rsidRPr="00666D78">
        <w:rPr>
          <w:rFonts w:ascii="Times New Roman" w:hAnsi="Times New Roman" w:cs="Times New Roman"/>
          <w:szCs w:val="24"/>
        </w:rPr>
        <w:t>Setabutr</w:t>
      </w:r>
      <w:proofErr w:type="spellEnd"/>
      <w:r w:rsidRPr="00666D78">
        <w:rPr>
          <w:rFonts w:ascii="Times New Roman" w:hAnsi="Times New Roman" w:cs="Times New Roman"/>
          <w:szCs w:val="24"/>
        </w:rPr>
        <w:t>)</w:t>
      </w:r>
    </w:p>
    <w:p w14:paraId="6C9AA660" w14:textId="77777777" w:rsidR="00C6414B" w:rsidRPr="00666D78" w:rsidRDefault="00C6414B"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President of the University Council</w:t>
      </w:r>
    </w:p>
    <w:p w14:paraId="5904ED50" w14:textId="3041928D" w:rsidR="00C6414B" w:rsidRPr="00666D78" w:rsidRDefault="00C6414B" w:rsidP="00666D78">
      <w:pPr>
        <w:spacing w:line="276" w:lineRule="auto"/>
        <w:jc w:val="both"/>
        <w:rPr>
          <w:rFonts w:ascii="Times New Roman" w:hAnsi="Times New Roman" w:cs="Times New Roman"/>
          <w:szCs w:val="24"/>
        </w:rPr>
      </w:pPr>
    </w:p>
    <w:sectPr w:rsidR="00C6414B" w:rsidRPr="00666D78" w:rsidSect="00197DC4">
      <w:headerReference w:type="default" r:id="rId8"/>
      <w:footerReference w:type="default" r:id="rId9"/>
      <w:headerReference w:type="first" r:id="rId10"/>
      <w:footerReference w:type="first" r:id="rId11"/>
      <w:pgSz w:w="11906" w:h="16838"/>
      <w:pgMar w:top="1440" w:right="1440" w:bottom="1440" w:left="1440" w:header="96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AEF61" w14:textId="77777777" w:rsidR="0048305D" w:rsidRDefault="0048305D">
      <w:r>
        <w:separator/>
      </w:r>
    </w:p>
  </w:endnote>
  <w:endnote w:type="continuationSeparator" w:id="0">
    <w:p w14:paraId="56F783AF" w14:textId="77777777" w:rsidR="0048305D" w:rsidRDefault="0048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H Sarabun New">
    <w:altName w:val="Browallia New"/>
    <w:panose1 w:val="020B0500040200020003"/>
    <w:charset w:val="00"/>
    <w:family w:val="swiss"/>
    <w:pitch w:val="variable"/>
    <w:sig w:usb0="A100006F" w:usb1="5000205A" w:usb2="00000000" w:usb3="00000000" w:csb0="00010183" w:csb1="00000000"/>
  </w:font>
  <w:font w:name="Liberation Serif">
    <w:altName w:val="Times New Roman"/>
    <w:charset w:val="01"/>
    <w:family w:val="roman"/>
    <w:pitch w:val="variable"/>
  </w:font>
  <w:font w:name="Noto Sans CJK SC">
    <w:charset w:val="86"/>
    <w:family w:val="auto"/>
    <w:pitch w:val="default"/>
    <w:sig w:usb0="30000083" w:usb1="2BDF3C10" w:usb2="00000016" w:usb3="00000000" w:csb0="602E0107" w:csb1="00000000"/>
  </w:font>
  <w:font w:name="Lohit Devanagari">
    <w:altName w:val="Calibri"/>
    <w:charset w:val="00"/>
    <w:family w:val="auto"/>
    <w:pitch w:val="default"/>
    <w:sig w:usb0="80008023" w:usb1="00002042"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AA36E" w14:textId="77777777" w:rsidR="00197DC4" w:rsidRDefault="00197DC4" w:rsidP="00197DC4">
    <w:pPr>
      <w:pStyle w:val="Footer"/>
      <w:jc w:val="thaiDistribute"/>
      <w:rPr>
        <w:rFonts w:ascii="Times New Roman" w:hAnsi="Times New Roman"/>
        <w:b/>
        <w:bCs/>
        <w:sz w:val="22"/>
        <w:szCs w:val="28"/>
        <w:lang w:val="en-US"/>
      </w:rPr>
    </w:pPr>
  </w:p>
  <w:p w14:paraId="08B8BE39" w14:textId="32664BE7" w:rsidR="00197DC4" w:rsidRPr="00870D74" w:rsidRDefault="00197DC4" w:rsidP="00197DC4">
    <w:pPr>
      <w:pStyle w:val="Footer"/>
      <w:jc w:val="thaiDistribute"/>
      <w:rPr>
        <w:rFonts w:ascii="Times New Roman" w:hAnsi="Times New Roman"/>
        <w:sz w:val="22"/>
        <w:szCs w:val="28"/>
        <w:lang w:val="en-US"/>
      </w:rPr>
    </w:pPr>
    <w:r w:rsidRPr="00870D74">
      <w:rPr>
        <w:rFonts w:ascii="Times New Roman" w:hAnsi="Times New Roman" w:cs="Times New Roman"/>
        <w:b/>
        <w:bCs/>
        <w:sz w:val="22"/>
        <w:szCs w:val="28"/>
        <w:lang w:val="en-US"/>
      </w:rPr>
      <w:t xml:space="preserve">Remark: </w:t>
    </w:r>
    <w:r w:rsidRPr="00870D74">
      <w:rPr>
        <w:rFonts w:ascii="Times New Roman" w:hAnsi="Times New Roman"/>
        <w:sz w:val="22"/>
        <w:szCs w:val="28"/>
        <w:lang w:val="en-US"/>
      </w:rPr>
      <w:t xml:space="preserve">This translation is provided by Thammasat University as the competent authority for information purposes only. Whilst Thammasat University has made efforts to ensure the accuracy and correctness of the translation, the original Thai text as formally adopted and published shall in all events remain the sole authoritative text having the force of law. </w:t>
    </w:r>
  </w:p>
  <w:p w14:paraId="7A7D5545" w14:textId="77777777" w:rsidR="00197DC4" w:rsidRPr="00197DC4" w:rsidRDefault="00197DC4">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AD434" w14:textId="77777777" w:rsidR="00197DC4" w:rsidRPr="00197DC4" w:rsidRDefault="00197DC4" w:rsidP="00197DC4">
    <w:pPr>
      <w:pStyle w:val="Footer"/>
      <w:jc w:val="thaiDistribute"/>
      <w:rPr>
        <w:rFonts w:ascii="Times New Roman" w:hAnsi="Times New Roman"/>
        <w:b/>
        <w:bCs/>
        <w:sz w:val="22"/>
        <w:szCs w:val="22"/>
        <w:lang w:val="en-US"/>
      </w:rPr>
    </w:pPr>
  </w:p>
  <w:p w14:paraId="4ED5BEB4" w14:textId="7901F181" w:rsidR="00197DC4" w:rsidRPr="00197DC4" w:rsidRDefault="00197DC4" w:rsidP="00197DC4">
    <w:pPr>
      <w:pStyle w:val="Footer"/>
      <w:jc w:val="thaiDistribute"/>
      <w:rPr>
        <w:rFonts w:ascii="Times New Roman" w:hAnsi="Times New Roman"/>
        <w:sz w:val="22"/>
        <w:szCs w:val="22"/>
        <w:lang w:val="en-US"/>
      </w:rPr>
    </w:pPr>
    <w:r w:rsidRPr="00197DC4">
      <w:rPr>
        <w:rFonts w:ascii="Times New Roman" w:hAnsi="Times New Roman" w:cs="Times New Roman"/>
        <w:b/>
        <w:bCs/>
        <w:sz w:val="22"/>
        <w:szCs w:val="22"/>
        <w:lang w:val="en-US"/>
      </w:rPr>
      <w:t xml:space="preserve">Remark: </w:t>
    </w:r>
    <w:r w:rsidRPr="00197DC4">
      <w:rPr>
        <w:rFonts w:ascii="Times New Roman" w:hAnsi="Times New Roman"/>
        <w:sz w:val="22"/>
        <w:szCs w:val="22"/>
        <w:lang w:val="en-US"/>
      </w:rPr>
      <w:t xml:space="preserve">This translation is provided by Thammasat University as the competent authority for information purposes only. Whilst Thammasat University has made efforts to ensure the accuracy and correctness of the translation, the original Thai text as formally adopted and published shall in all events remain the sole authoritative text having the force of law. </w:t>
    </w:r>
  </w:p>
  <w:p w14:paraId="0842C537" w14:textId="77777777" w:rsidR="00197DC4" w:rsidRPr="00197DC4" w:rsidRDefault="00197DC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1718E" w14:textId="77777777" w:rsidR="0048305D" w:rsidRDefault="0048305D">
      <w:r>
        <w:separator/>
      </w:r>
    </w:p>
  </w:footnote>
  <w:footnote w:type="continuationSeparator" w:id="0">
    <w:p w14:paraId="6ACF43CE" w14:textId="77777777" w:rsidR="0048305D" w:rsidRDefault="00483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3406247"/>
      <w:docPartObj>
        <w:docPartGallery w:val="Page Numbers (Top of Page)"/>
        <w:docPartUnique/>
      </w:docPartObj>
    </w:sdtPr>
    <w:sdtEndPr>
      <w:rPr>
        <w:noProof/>
      </w:rPr>
    </w:sdtEndPr>
    <w:sdtContent>
      <w:p w14:paraId="3F0AE838" w14:textId="1813F333" w:rsidR="00686C20" w:rsidRDefault="00197DC4" w:rsidP="00686C20">
        <w:pPr>
          <w:pStyle w:val="Header"/>
          <w:jc w:val="center"/>
        </w:pPr>
        <w:r w:rsidRPr="00197DC4">
          <w:rPr>
            <w:rFonts w:cs="Times New Roman"/>
            <w:sz w:val="22"/>
            <w:szCs w:val="28"/>
          </w:rPr>
          <w:fldChar w:fldCharType="begin"/>
        </w:r>
        <w:r w:rsidRPr="00197DC4">
          <w:rPr>
            <w:rFonts w:cs="Times New Roman"/>
            <w:sz w:val="22"/>
            <w:szCs w:val="28"/>
          </w:rPr>
          <w:instrText xml:space="preserve"> PAGE   \* MERGEFORMAT </w:instrText>
        </w:r>
        <w:r w:rsidRPr="00197DC4">
          <w:rPr>
            <w:rFonts w:cs="Times New Roman"/>
            <w:sz w:val="22"/>
            <w:szCs w:val="28"/>
          </w:rPr>
          <w:fldChar w:fldCharType="separate"/>
        </w:r>
        <w:r w:rsidRPr="00197DC4">
          <w:rPr>
            <w:rFonts w:cs="Times New Roman"/>
            <w:noProof/>
            <w:sz w:val="22"/>
            <w:szCs w:val="28"/>
          </w:rPr>
          <w:t>2</w:t>
        </w:r>
        <w:r w:rsidRPr="00197DC4">
          <w:rPr>
            <w:rFonts w:cs="Times New Roman"/>
            <w:noProof/>
            <w:sz w:val="22"/>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3789736"/>
      <w:docPartObj>
        <w:docPartGallery w:val="Page Numbers (Top of Page)"/>
        <w:docPartUnique/>
      </w:docPartObj>
    </w:sdtPr>
    <w:sdtEndPr>
      <w:rPr>
        <w:noProof/>
      </w:rPr>
    </w:sdtEndPr>
    <w:sdtContent>
      <w:p w14:paraId="690B48FC" w14:textId="4EDD3A57" w:rsidR="00197DC4" w:rsidRDefault="0048305D">
        <w:pPr>
          <w:pStyle w:val="Header"/>
          <w:jc w:val="center"/>
        </w:pPr>
      </w:p>
    </w:sdtContent>
  </w:sdt>
  <w:p w14:paraId="07DDB61D" w14:textId="77777777" w:rsidR="00197DC4" w:rsidRDefault="00197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0E66"/>
    <w:multiLevelType w:val="multilevel"/>
    <w:tmpl w:val="C3866CFC"/>
    <w:lvl w:ilvl="0">
      <w:start w:val="1"/>
      <w:numFmt w:val="decimal"/>
      <w:lvlText w:val="1.%1"/>
      <w:lvlJc w:val="left"/>
      <w:pPr>
        <w:ind w:left="360" w:hanging="360"/>
      </w:pPr>
      <w:rPr>
        <w:rFonts w:ascii="Times New Roman" w:hAnsi="Times New Roman" w:cs="Times New Roman" w:hint="default"/>
        <w:b/>
        <w:bCs/>
        <w:i w:val="0"/>
        <w:iCs w:val="0"/>
        <w:sz w:val="24"/>
        <w:szCs w:val="24"/>
      </w:rPr>
    </w:lvl>
    <w:lvl w:ilvl="1">
      <w:start w:val="1"/>
      <w:numFmt w:val="decimal"/>
      <w:lvlText w:val="1.%2"/>
      <w:lvlJc w:val="left"/>
      <w:pPr>
        <w:ind w:left="357" w:hanging="357"/>
      </w:pPr>
      <w:rPr>
        <w:rFonts w:ascii="Times New Roman" w:hAnsi="Times New Roman" w:hint="default"/>
        <w:b/>
        <w:i w:val="0"/>
        <w:sz w:val="24"/>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D693520"/>
    <w:multiLevelType w:val="multilevel"/>
    <w:tmpl w:val="B10ED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A9A47F7"/>
    <w:multiLevelType w:val="hybridMultilevel"/>
    <w:tmpl w:val="3468097E"/>
    <w:lvl w:ilvl="0" w:tplc="170803E2">
      <w:start w:val="57"/>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C6B5A"/>
    <w:multiLevelType w:val="hybridMultilevel"/>
    <w:tmpl w:val="8A9C1DB6"/>
    <w:lvl w:ilvl="0" w:tplc="88E63F1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4C4077BB"/>
    <w:multiLevelType w:val="multilevel"/>
    <w:tmpl w:val="28EEA532"/>
    <w:lvl w:ilvl="0">
      <w:start w:val="1"/>
      <w:numFmt w:val="decimal"/>
      <w:lvlText w:val="%1."/>
      <w:lvlJc w:val="left"/>
      <w:pPr>
        <w:tabs>
          <w:tab w:val="num" w:pos="720"/>
        </w:tabs>
        <w:ind w:left="720" w:hanging="720"/>
      </w:pPr>
    </w:lvl>
    <w:lvl w:ilvl="1">
      <w:start w:val="1"/>
      <w:numFmt w:val="decimal"/>
      <w:pStyle w:val="TUMainHeadingChapter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30"/>
    <w:rsid w:val="00011415"/>
    <w:rsid w:val="00020DBE"/>
    <w:rsid w:val="00023B24"/>
    <w:rsid w:val="000268AD"/>
    <w:rsid w:val="00026A3B"/>
    <w:rsid w:val="00032CFF"/>
    <w:rsid w:val="000374CC"/>
    <w:rsid w:val="00041B6A"/>
    <w:rsid w:val="000437CA"/>
    <w:rsid w:val="0004483C"/>
    <w:rsid w:val="000528FF"/>
    <w:rsid w:val="00056D78"/>
    <w:rsid w:val="00073F80"/>
    <w:rsid w:val="00074E05"/>
    <w:rsid w:val="00077951"/>
    <w:rsid w:val="00084F5D"/>
    <w:rsid w:val="0008691B"/>
    <w:rsid w:val="00091431"/>
    <w:rsid w:val="00093775"/>
    <w:rsid w:val="00094EF7"/>
    <w:rsid w:val="00097655"/>
    <w:rsid w:val="000A3506"/>
    <w:rsid w:val="000A7992"/>
    <w:rsid w:val="000B204B"/>
    <w:rsid w:val="000E1A03"/>
    <w:rsid w:val="000E1C61"/>
    <w:rsid w:val="000E291D"/>
    <w:rsid w:val="000E2C09"/>
    <w:rsid w:val="000E6105"/>
    <w:rsid w:val="00121F7F"/>
    <w:rsid w:val="001347C7"/>
    <w:rsid w:val="001531D0"/>
    <w:rsid w:val="0015507E"/>
    <w:rsid w:val="00175A76"/>
    <w:rsid w:val="00181B12"/>
    <w:rsid w:val="00183A40"/>
    <w:rsid w:val="001962B2"/>
    <w:rsid w:val="00197DC4"/>
    <w:rsid w:val="001A22A1"/>
    <w:rsid w:val="001B7978"/>
    <w:rsid w:val="001D0E71"/>
    <w:rsid w:val="001D1C7D"/>
    <w:rsid w:val="001D515B"/>
    <w:rsid w:val="001D55A5"/>
    <w:rsid w:val="001E1D54"/>
    <w:rsid w:val="001F762E"/>
    <w:rsid w:val="00203DFF"/>
    <w:rsid w:val="00203E3E"/>
    <w:rsid w:val="00232D5B"/>
    <w:rsid w:val="00234D05"/>
    <w:rsid w:val="00266373"/>
    <w:rsid w:val="002859DE"/>
    <w:rsid w:val="002A540E"/>
    <w:rsid w:val="002C2263"/>
    <w:rsid w:val="002F3B92"/>
    <w:rsid w:val="002F7072"/>
    <w:rsid w:val="00301C55"/>
    <w:rsid w:val="003159D7"/>
    <w:rsid w:val="003246C4"/>
    <w:rsid w:val="00353B31"/>
    <w:rsid w:val="00355594"/>
    <w:rsid w:val="00375DD8"/>
    <w:rsid w:val="00376AA1"/>
    <w:rsid w:val="00377ED2"/>
    <w:rsid w:val="003948AF"/>
    <w:rsid w:val="00396760"/>
    <w:rsid w:val="0039788E"/>
    <w:rsid w:val="003B2D73"/>
    <w:rsid w:val="003C2416"/>
    <w:rsid w:val="003D051E"/>
    <w:rsid w:val="003D2869"/>
    <w:rsid w:val="003D3B63"/>
    <w:rsid w:val="003D4224"/>
    <w:rsid w:val="003E0D7A"/>
    <w:rsid w:val="003E4AD8"/>
    <w:rsid w:val="003F797A"/>
    <w:rsid w:val="00424802"/>
    <w:rsid w:val="004439A2"/>
    <w:rsid w:val="00447553"/>
    <w:rsid w:val="00454634"/>
    <w:rsid w:val="004553C2"/>
    <w:rsid w:val="00475179"/>
    <w:rsid w:val="0048305D"/>
    <w:rsid w:val="00492D8B"/>
    <w:rsid w:val="0049335F"/>
    <w:rsid w:val="00496C2C"/>
    <w:rsid w:val="004B5C6B"/>
    <w:rsid w:val="004C56FC"/>
    <w:rsid w:val="004D413B"/>
    <w:rsid w:val="004D7CBC"/>
    <w:rsid w:val="004E4E21"/>
    <w:rsid w:val="004E5CE1"/>
    <w:rsid w:val="00501163"/>
    <w:rsid w:val="00502D97"/>
    <w:rsid w:val="00504822"/>
    <w:rsid w:val="00506047"/>
    <w:rsid w:val="005255BC"/>
    <w:rsid w:val="005317CA"/>
    <w:rsid w:val="00532344"/>
    <w:rsid w:val="00543847"/>
    <w:rsid w:val="005533E4"/>
    <w:rsid w:val="00557364"/>
    <w:rsid w:val="005632DE"/>
    <w:rsid w:val="005639C0"/>
    <w:rsid w:val="00564E14"/>
    <w:rsid w:val="00574529"/>
    <w:rsid w:val="00596E32"/>
    <w:rsid w:val="005A0F02"/>
    <w:rsid w:val="005C7A17"/>
    <w:rsid w:val="005E28F8"/>
    <w:rsid w:val="005E7F6C"/>
    <w:rsid w:val="005F08E1"/>
    <w:rsid w:val="00610CA2"/>
    <w:rsid w:val="00616B60"/>
    <w:rsid w:val="0061778D"/>
    <w:rsid w:val="00622411"/>
    <w:rsid w:val="006320E2"/>
    <w:rsid w:val="00636F22"/>
    <w:rsid w:val="0064508F"/>
    <w:rsid w:val="00647047"/>
    <w:rsid w:val="00650256"/>
    <w:rsid w:val="00662C90"/>
    <w:rsid w:val="0066540A"/>
    <w:rsid w:val="00666D78"/>
    <w:rsid w:val="00686C20"/>
    <w:rsid w:val="006D4A9F"/>
    <w:rsid w:val="006D5291"/>
    <w:rsid w:val="006D77D0"/>
    <w:rsid w:val="006F1EA4"/>
    <w:rsid w:val="006F7514"/>
    <w:rsid w:val="007039D4"/>
    <w:rsid w:val="00706171"/>
    <w:rsid w:val="00710A2D"/>
    <w:rsid w:val="007278D7"/>
    <w:rsid w:val="00727F6F"/>
    <w:rsid w:val="00735BCA"/>
    <w:rsid w:val="0074196A"/>
    <w:rsid w:val="00753AEA"/>
    <w:rsid w:val="0077272A"/>
    <w:rsid w:val="00776234"/>
    <w:rsid w:val="0079326E"/>
    <w:rsid w:val="007A4DC4"/>
    <w:rsid w:val="007C1171"/>
    <w:rsid w:val="007C152B"/>
    <w:rsid w:val="007C3558"/>
    <w:rsid w:val="007E0912"/>
    <w:rsid w:val="007E3917"/>
    <w:rsid w:val="007F53D9"/>
    <w:rsid w:val="007F7EA2"/>
    <w:rsid w:val="0080261E"/>
    <w:rsid w:val="00806A63"/>
    <w:rsid w:val="00816A84"/>
    <w:rsid w:val="0083251E"/>
    <w:rsid w:val="00834C1F"/>
    <w:rsid w:val="00850C55"/>
    <w:rsid w:val="00851F17"/>
    <w:rsid w:val="00872A1B"/>
    <w:rsid w:val="008753DF"/>
    <w:rsid w:val="00886319"/>
    <w:rsid w:val="00894AAE"/>
    <w:rsid w:val="008A628E"/>
    <w:rsid w:val="008C6C36"/>
    <w:rsid w:val="008E1A2D"/>
    <w:rsid w:val="008E566A"/>
    <w:rsid w:val="008F2ADB"/>
    <w:rsid w:val="008F4BDF"/>
    <w:rsid w:val="008F4EDF"/>
    <w:rsid w:val="008F6056"/>
    <w:rsid w:val="009026EA"/>
    <w:rsid w:val="00904271"/>
    <w:rsid w:val="00905E30"/>
    <w:rsid w:val="009110C7"/>
    <w:rsid w:val="00922609"/>
    <w:rsid w:val="00925E7F"/>
    <w:rsid w:val="00927832"/>
    <w:rsid w:val="00931D05"/>
    <w:rsid w:val="00933889"/>
    <w:rsid w:val="00943563"/>
    <w:rsid w:val="0094403F"/>
    <w:rsid w:val="00947CEE"/>
    <w:rsid w:val="00974939"/>
    <w:rsid w:val="00980F0B"/>
    <w:rsid w:val="00990543"/>
    <w:rsid w:val="00992AB9"/>
    <w:rsid w:val="009A14EE"/>
    <w:rsid w:val="009B6BC6"/>
    <w:rsid w:val="009C5083"/>
    <w:rsid w:val="009D3173"/>
    <w:rsid w:val="009E5945"/>
    <w:rsid w:val="009F25D7"/>
    <w:rsid w:val="00A107E9"/>
    <w:rsid w:val="00A12328"/>
    <w:rsid w:val="00A35011"/>
    <w:rsid w:val="00A537F6"/>
    <w:rsid w:val="00A75261"/>
    <w:rsid w:val="00A755C1"/>
    <w:rsid w:val="00A878B3"/>
    <w:rsid w:val="00A960B5"/>
    <w:rsid w:val="00AA26F7"/>
    <w:rsid w:val="00AA5D38"/>
    <w:rsid w:val="00AD1ED5"/>
    <w:rsid w:val="00AE11E0"/>
    <w:rsid w:val="00AE2918"/>
    <w:rsid w:val="00AE3465"/>
    <w:rsid w:val="00AF10FB"/>
    <w:rsid w:val="00AF72A4"/>
    <w:rsid w:val="00B011C5"/>
    <w:rsid w:val="00B1150C"/>
    <w:rsid w:val="00B17842"/>
    <w:rsid w:val="00B1796C"/>
    <w:rsid w:val="00B204C2"/>
    <w:rsid w:val="00B21F2F"/>
    <w:rsid w:val="00B23EB4"/>
    <w:rsid w:val="00B249D3"/>
    <w:rsid w:val="00B433CC"/>
    <w:rsid w:val="00B52035"/>
    <w:rsid w:val="00B5504C"/>
    <w:rsid w:val="00B61F5C"/>
    <w:rsid w:val="00B700E0"/>
    <w:rsid w:val="00B72880"/>
    <w:rsid w:val="00B7362A"/>
    <w:rsid w:val="00BA253C"/>
    <w:rsid w:val="00BA6A1D"/>
    <w:rsid w:val="00BB44E0"/>
    <w:rsid w:val="00BC270C"/>
    <w:rsid w:val="00BD2B8F"/>
    <w:rsid w:val="00BE7F54"/>
    <w:rsid w:val="00BF2CC7"/>
    <w:rsid w:val="00BF3C4E"/>
    <w:rsid w:val="00BF7113"/>
    <w:rsid w:val="00C03E4E"/>
    <w:rsid w:val="00C062D2"/>
    <w:rsid w:val="00C06E06"/>
    <w:rsid w:val="00C10DFA"/>
    <w:rsid w:val="00C2210D"/>
    <w:rsid w:val="00C25280"/>
    <w:rsid w:val="00C30647"/>
    <w:rsid w:val="00C3259B"/>
    <w:rsid w:val="00C36127"/>
    <w:rsid w:val="00C51394"/>
    <w:rsid w:val="00C52C2E"/>
    <w:rsid w:val="00C61760"/>
    <w:rsid w:val="00C6414B"/>
    <w:rsid w:val="00C66313"/>
    <w:rsid w:val="00C73A36"/>
    <w:rsid w:val="00C841CF"/>
    <w:rsid w:val="00C90767"/>
    <w:rsid w:val="00C92EC9"/>
    <w:rsid w:val="00CA47EB"/>
    <w:rsid w:val="00CC1A73"/>
    <w:rsid w:val="00CC4B5E"/>
    <w:rsid w:val="00D06F2F"/>
    <w:rsid w:val="00D122B5"/>
    <w:rsid w:val="00D13F38"/>
    <w:rsid w:val="00D20F1E"/>
    <w:rsid w:val="00D3548C"/>
    <w:rsid w:val="00D3566A"/>
    <w:rsid w:val="00D62F9A"/>
    <w:rsid w:val="00D8180B"/>
    <w:rsid w:val="00DC6470"/>
    <w:rsid w:val="00DC7DC4"/>
    <w:rsid w:val="00DD6590"/>
    <w:rsid w:val="00DF2E73"/>
    <w:rsid w:val="00DF4829"/>
    <w:rsid w:val="00E00AEE"/>
    <w:rsid w:val="00E14B00"/>
    <w:rsid w:val="00E21B0D"/>
    <w:rsid w:val="00E478E5"/>
    <w:rsid w:val="00E51EF8"/>
    <w:rsid w:val="00E7432B"/>
    <w:rsid w:val="00E849DF"/>
    <w:rsid w:val="00E96449"/>
    <w:rsid w:val="00E96687"/>
    <w:rsid w:val="00EB03FF"/>
    <w:rsid w:val="00EB77C3"/>
    <w:rsid w:val="00EC4EC8"/>
    <w:rsid w:val="00ED17FD"/>
    <w:rsid w:val="00ED22D3"/>
    <w:rsid w:val="00ED6017"/>
    <w:rsid w:val="00EE4BE6"/>
    <w:rsid w:val="00EE75EE"/>
    <w:rsid w:val="00EE7BB8"/>
    <w:rsid w:val="00F20E71"/>
    <w:rsid w:val="00F22D8B"/>
    <w:rsid w:val="00F23564"/>
    <w:rsid w:val="00F2440B"/>
    <w:rsid w:val="00F70807"/>
    <w:rsid w:val="00FA0F6E"/>
    <w:rsid w:val="00FB60A6"/>
    <w:rsid w:val="00FC0176"/>
    <w:rsid w:val="00FD17DC"/>
    <w:rsid w:val="00FD31B9"/>
    <w:rsid w:val="00FD7D9B"/>
    <w:rsid w:val="00FE2B24"/>
    <w:rsid w:val="00FE67B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F92A"/>
  <w15:docId w15:val="{087495D8-304F-6B41-9369-3871E262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A253C"/>
    <w:pPr>
      <w:spacing w:line="360" w:lineRule="auto"/>
      <w:jc w:val="center"/>
      <w:outlineLvl w:val="0"/>
    </w:pPr>
    <w:rPr>
      <w:rFonts w:ascii="Times New Roman" w:hAnsi="Times New Roman" w:cs="Angsana New"/>
      <w:b/>
      <w:bCs/>
      <w:sz w:val="28"/>
      <w:szCs w:val="28"/>
    </w:rPr>
  </w:style>
  <w:style w:type="paragraph" w:styleId="Heading2">
    <w:name w:val="heading 2"/>
    <w:basedOn w:val="Normal"/>
    <w:next w:val="Normal"/>
    <w:link w:val="Heading2Char"/>
    <w:uiPriority w:val="9"/>
    <w:unhideWhenUsed/>
    <w:qFormat/>
    <w:rsid w:val="00BA253C"/>
    <w:pPr>
      <w:spacing w:line="360" w:lineRule="auto"/>
      <w:jc w:val="both"/>
      <w:outlineLvl w:val="1"/>
    </w:pPr>
    <w:rPr>
      <w:rFonts w:ascii="Times New Roman" w:hAnsi="Times New Roman" w:cs="Angsana New"/>
      <w:b/>
      <w:bCs/>
      <w:szCs w:val="24"/>
    </w:rPr>
  </w:style>
  <w:style w:type="paragraph" w:styleId="Heading3">
    <w:name w:val="heading 3"/>
    <w:basedOn w:val="LLDBodyTextlevel1"/>
    <w:next w:val="Normal"/>
    <w:link w:val="Heading3Char"/>
    <w:uiPriority w:val="9"/>
    <w:unhideWhenUsed/>
    <w:qFormat/>
    <w:rsid w:val="00BA253C"/>
    <w:pPr>
      <w:jc w:val="left"/>
      <w:outlineLvl w:val="2"/>
    </w:pPr>
    <w:rPr>
      <w:b/>
      <w:bCs/>
    </w:rPr>
  </w:style>
  <w:style w:type="paragraph" w:styleId="Heading4">
    <w:name w:val="heading 4"/>
    <w:basedOn w:val="Heading3"/>
    <w:next w:val="Normal"/>
    <w:link w:val="Heading4Char"/>
    <w:uiPriority w:val="9"/>
    <w:unhideWhenUsed/>
    <w:qFormat/>
    <w:rsid w:val="00BA253C"/>
    <w:pPr>
      <w:ind w:firstLine="1584"/>
      <w:outlineLvl w:val="3"/>
    </w:pPr>
  </w:style>
  <w:style w:type="paragraph" w:styleId="Heading5">
    <w:name w:val="heading 5"/>
    <w:basedOn w:val="LLDBodyTextlevel3"/>
    <w:next w:val="Normal"/>
    <w:link w:val="Heading5Char"/>
    <w:uiPriority w:val="9"/>
    <w:unhideWhenUsed/>
    <w:qFormat/>
    <w:rsid w:val="00BA253C"/>
    <w:pPr>
      <w:ind w:firstLine="2016"/>
      <w:jc w:val="lef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UMainHeadingChapter1">
    <w:name w:val="TU_Main Heading _Chapter1"/>
    <w:basedOn w:val="Heading2"/>
    <w:link w:val="TUMainHeadingChapter1Char"/>
    <w:autoRedefine/>
    <w:qFormat/>
    <w:rsid w:val="00BA253C"/>
    <w:pPr>
      <w:numPr>
        <w:ilvl w:val="1"/>
        <w:numId w:val="3"/>
      </w:numPr>
    </w:pPr>
    <w:rPr>
      <w:rFonts w:ascii="Calibri Light" w:eastAsia="SimSun" w:hAnsi="Calibri Light" w:cs="TH Sarabun New"/>
      <w:b w:val="0"/>
      <w:bCs w:val="0"/>
      <w:color w:val="2E75B5"/>
      <w:szCs w:val="32"/>
    </w:rPr>
  </w:style>
  <w:style w:type="character" w:customStyle="1" w:styleId="TUMainHeadingChapter1Char">
    <w:name w:val="TU_Main Heading _Chapter1 Char"/>
    <w:basedOn w:val="Heading2Char"/>
    <w:link w:val="TUMainHeadingChapter1"/>
    <w:qFormat/>
    <w:rsid w:val="00BA253C"/>
    <w:rPr>
      <w:rFonts w:ascii="Calibri Light" w:eastAsia="SimSun" w:hAnsi="Calibri Light" w:cs="TH Sarabun New"/>
      <w:b w:val="0"/>
      <w:bCs w:val="0"/>
      <w:color w:val="2E75B5"/>
      <w:szCs w:val="32"/>
      <w:lang w:val="en-GB"/>
    </w:rPr>
  </w:style>
  <w:style w:type="character" w:customStyle="1" w:styleId="Heading2Char">
    <w:name w:val="Heading 2 Char"/>
    <w:basedOn w:val="DefaultParagraphFont"/>
    <w:link w:val="Heading2"/>
    <w:uiPriority w:val="9"/>
    <w:rsid w:val="00BA253C"/>
    <w:rPr>
      <w:rFonts w:ascii="Times New Roman" w:hAnsi="Times New Roman" w:cs="Angsana New"/>
      <w:b/>
      <w:bCs/>
      <w:szCs w:val="24"/>
      <w:lang w:val="en-GB"/>
    </w:rPr>
  </w:style>
  <w:style w:type="paragraph" w:customStyle="1" w:styleId="Footnote">
    <w:name w:val="Footnote"/>
    <w:basedOn w:val="Normal"/>
    <w:rsid w:val="00BA253C"/>
    <w:pPr>
      <w:suppressLineNumbers/>
      <w:suppressAutoHyphens/>
      <w:autoSpaceDN w:val="0"/>
      <w:ind w:left="339" w:hanging="339"/>
      <w:textAlignment w:val="baseline"/>
    </w:pPr>
    <w:rPr>
      <w:rFonts w:ascii="Liberation Serif" w:eastAsia="Noto Sans CJK SC" w:hAnsi="Liberation Serif" w:cs="Lohit Devanagari"/>
      <w:kern w:val="3"/>
      <w:sz w:val="20"/>
      <w:szCs w:val="20"/>
      <w:lang w:eastAsia="zh-CN" w:bidi="hi-IN"/>
    </w:rPr>
  </w:style>
  <w:style w:type="character" w:styleId="FootnoteReference">
    <w:name w:val="footnote reference"/>
    <w:basedOn w:val="DefaultParagraphFont"/>
    <w:uiPriority w:val="99"/>
    <w:qFormat/>
    <w:rsid w:val="00BA253C"/>
    <w:rPr>
      <w:vertAlign w:val="superscript"/>
    </w:rPr>
  </w:style>
  <w:style w:type="paragraph" w:styleId="FootnoteText">
    <w:name w:val="footnote text"/>
    <w:basedOn w:val="Normal"/>
    <w:link w:val="FootnoteTextChar"/>
    <w:autoRedefine/>
    <w:uiPriority w:val="99"/>
    <w:unhideWhenUsed/>
    <w:qFormat/>
    <w:rsid w:val="00BA253C"/>
    <w:pPr>
      <w:snapToGrid w:val="0"/>
    </w:pPr>
    <w:rPr>
      <w:rFonts w:ascii="Times New Roman" w:hAnsi="Times New Roman" w:cs="Angsana New"/>
      <w:sz w:val="20"/>
      <w:szCs w:val="25"/>
    </w:rPr>
  </w:style>
  <w:style w:type="character" w:customStyle="1" w:styleId="FootnoteTextChar">
    <w:name w:val="Footnote Text Char"/>
    <w:basedOn w:val="DefaultParagraphFont"/>
    <w:link w:val="FootnoteText"/>
    <w:uiPriority w:val="99"/>
    <w:rsid w:val="00BA253C"/>
    <w:rPr>
      <w:rFonts w:ascii="Times New Roman" w:hAnsi="Times New Roman" w:cs="Angsana New"/>
      <w:sz w:val="20"/>
      <w:szCs w:val="25"/>
      <w:lang w:val="en-GB"/>
    </w:rPr>
  </w:style>
  <w:style w:type="paragraph" w:styleId="Header">
    <w:name w:val="header"/>
    <w:basedOn w:val="Normal"/>
    <w:link w:val="HeaderChar"/>
    <w:uiPriority w:val="99"/>
    <w:unhideWhenUsed/>
    <w:rsid w:val="00BA253C"/>
    <w:pPr>
      <w:tabs>
        <w:tab w:val="center" w:pos="4513"/>
        <w:tab w:val="right" w:pos="9026"/>
      </w:tabs>
      <w:jc w:val="both"/>
    </w:pPr>
    <w:rPr>
      <w:rFonts w:ascii="Times New Roman" w:hAnsi="Times New Roman" w:cs="Angsana New"/>
    </w:rPr>
  </w:style>
  <w:style w:type="character" w:customStyle="1" w:styleId="HeaderChar">
    <w:name w:val="Header Char"/>
    <w:basedOn w:val="DefaultParagraphFont"/>
    <w:link w:val="Header"/>
    <w:uiPriority w:val="99"/>
    <w:rsid w:val="00BA253C"/>
    <w:rPr>
      <w:rFonts w:ascii="Times New Roman" w:hAnsi="Times New Roman" w:cs="Angsana New"/>
      <w:lang w:val="en-GB"/>
    </w:rPr>
  </w:style>
  <w:style w:type="character" w:customStyle="1" w:styleId="Heading1Char">
    <w:name w:val="Heading 1 Char"/>
    <w:basedOn w:val="DefaultParagraphFont"/>
    <w:link w:val="Heading1"/>
    <w:uiPriority w:val="9"/>
    <w:rsid w:val="00BA253C"/>
    <w:rPr>
      <w:rFonts w:ascii="Times New Roman" w:hAnsi="Times New Roman" w:cs="Angsana New"/>
      <w:b/>
      <w:bCs/>
      <w:sz w:val="28"/>
      <w:szCs w:val="28"/>
      <w:lang w:val="en-GB"/>
    </w:rPr>
  </w:style>
  <w:style w:type="paragraph" w:customStyle="1" w:styleId="LLDBodyTextlevel1">
    <w:name w:val="LLD Body Text level 1"/>
    <w:basedOn w:val="Normal"/>
    <w:qFormat/>
    <w:rsid w:val="00BA253C"/>
    <w:pPr>
      <w:spacing w:line="360" w:lineRule="auto"/>
      <w:ind w:firstLine="1152"/>
      <w:jc w:val="both"/>
    </w:pPr>
    <w:rPr>
      <w:rFonts w:ascii="Times New Roman" w:hAnsi="Times New Roman" w:cs="Times New Roman"/>
    </w:rPr>
  </w:style>
  <w:style w:type="character" w:customStyle="1" w:styleId="Heading3Char">
    <w:name w:val="Heading 3 Char"/>
    <w:basedOn w:val="DefaultParagraphFont"/>
    <w:link w:val="Heading3"/>
    <w:uiPriority w:val="9"/>
    <w:rsid w:val="00BA253C"/>
    <w:rPr>
      <w:rFonts w:ascii="Times New Roman" w:hAnsi="Times New Roman" w:cs="Times New Roman"/>
      <w:b/>
      <w:bCs/>
      <w:lang w:val="en-GB"/>
    </w:rPr>
  </w:style>
  <w:style w:type="character" w:customStyle="1" w:styleId="Heading4Char">
    <w:name w:val="Heading 4 Char"/>
    <w:basedOn w:val="DefaultParagraphFont"/>
    <w:link w:val="Heading4"/>
    <w:uiPriority w:val="9"/>
    <w:rsid w:val="00BA253C"/>
    <w:rPr>
      <w:rFonts w:ascii="Times New Roman" w:hAnsi="Times New Roman" w:cs="Times New Roman"/>
      <w:b/>
      <w:bCs/>
      <w:lang w:val="en-GB"/>
    </w:rPr>
  </w:style>
  <w:style w:type="paragraph" w:customStyle="1" w:styleId="LLDBodyTextlevel2">
    <w:name w:val="LLD Body Text level 2"/>
    <w:basedOn w:val="LLDBodyTextlevel1"/>
    <w:qFormat/>
    <w:rsid w:val="00BA253C"/>
    <w:pPr>
      <w:ind w:firstLine="1714"/>
    </w:pPr>
  </w:style>
  <w:style w:type="paragraph" w:customStyle="1" w:styleId="LLDBodyTextlevel3">
    <w:name w:val="LLD Body Text level 3+"/>
    <w:basedOn w:val="LLDBodyTextlevel2"/>
    <w:qFormat/>
    <w:rsid w:val="00BA253C"/>
    <w:pPr>
      <w:ind w:firstLine="2347"/>
    </w:pPr>
  </w:style>
  <w:style w:type="character" w:customStyle="1" w:styleId="Heading5Char">
    <w:name w:val="Heading 5 Char"/>
    <w:basedOn w:val="DefaultParagraphFont"/>
    <w:link w:val="Heading5"/>
    <w:uiPriority w:val="9"/>
    <w:rsid w:val="00BA253C"/>
    <w:rPr>
      <w:rFonts w:ascii="Times New Roman" w:hAnsi="Times New Roman" w:cs="Times New Roman"/>
      <w:b/>
      <w:bCs/>
      <w:lang w:val="en-GB"/>
    </w:rPr>
  </w:style>
  <w:style w:type="character" w:styleId="PageNumber">
    <w:name w:val="page number"/>
    <w:basedOn w:val="DefaultParagraphFont"/>
    <w:uiPriority w:val="99"/>
    <w:semiHidden/>
    <w:unhideWhenUsed/>
    <w:rsid w:val="00BA253C"/>
  </w:style>
  <w:style w:type="paragraph" w:customStyle="1" w:styleId="TUChapter">
    <w:name w:val="TU_Chapter"/>
    <w:basedOn w:val="Heading1"/>
    <w:link w:val="TUChapterChar"/>
    <w:qFormat/>
    <w:rsid w:val="00BA253C"/>
    <w:pPr>
      <w:keepNext/>
      <w:keepLines/>
      <w:spacing w:line="240" w:lineRule="auto"/>
    </w:pPr>
    <w:rPr>
      <w:rFonts w:eastAsiaTheme="majorEastAsia" w:cs="TH Sarabun New"/>
      <w:szCs w:val="36"/>
    </w:rPr>
  </w:style>
  <w:style w:type="character" w:customStyle="1" w:styleId="TUChapterChar">
    <w:name w:val="TU_Chapter Char"/>
    <w:basedOn w:val="Heading1Char"/>
    <w:link w:val="TUChapter"/>
    <w:rsid w:val="00BA253C"/>
    <w:rPr>
      <w:rFonts w:ascii="Times New Roman" w:eastAsiaTheme="majorEastAsia" w:hAnsi="Times New Roman" w:cs="TH Sarabun New"/>
      <w:b/>
      <w:bCs/>
      <w:sz w:val="28"/>
      <w:szCs w:val="36"/>
      <w:lang w:val="en-GB"/>
    </w:rPr>
  </w:style>
  <w:style w:type="paragraph" w:customStyle="1" w:styleId="TUParaSub-heading1">
    <w:name w:val="TU_Para_Sub-heading 1"/>
    <w:basedOn w:val="Normal"/>
    <w:qFormat/>
    <w:rsid w:val="00BA253C"/>
    <w:pPr>
      <w:spacing w:line="360" w:lineRule="auto"/>
      <w:ind w:firstLine="1714"/>
      <w:jc w:val="both"/>
    </w:pPr>
    <w:rPr>
      <w:rFonts w:ascii="Times New Roman" w:eastAsia="Calibri" w:hAnsi="Times New Roman" w:cs="Times New Roman"/>
      <w:szCs w:val="24"/>
    </w:rPr>
  </w:style>
  <w:style w:type="paragraph" w:customStyle="1" w:styleId="TUParagraphNormal">
    <w:name w:val="TU_Paragraph_Normal"/>
    <w:basedOn w:val="Normal"/>
    <w:qFormat/>
    <w:rsid w:val="00BA253C"/>
    <w:pPr>
      <w:spacing w:line="360" w:lineRule="auto"/>
      <w:ind w:firstLine="1152"/>
      <w:jc w:val="both"/>
    </w:pPr>
    <w:rPr>
      <w:rFonts w:ascii="Times New Roman" w:eastAsia="Calibri" w:hAnsi="Times New Roman" w:cs="Times New Roman"/>
      <w:szCs w:val="24"/>
    </w:rPr>
  </w:style>
  <w:style w:type="paragraph" w:customStyle="1" w:styleId="TUSub-heading1">
    <w:name w:val="TU_Sub-heading 1"/>
    <w:basedOn w:val="Heading3"/>
    <w:link w:val="TUSub-heading1Char"/>
    <w:qFormat/>
    <w:rsid w:val="00BA253C"/>
    <w:pPr>
      <w:keepNext/>
      <w:keepLines/>
    </w:pPr>
    <w:rPr>
      <w:rFonts w:eastAsia="SimSun" w:cs="TH Sarabun New"/>
      <w:szCs w:val="32"/>
    </w:rPr>
  </w:style>
  <w:style w:type="character" w:customStyle="1" w:styleId="TUSub-heading1Char">
    <w:name w:val="TU_Sub-heading 1 Char"/>
    <w:basedOn w:val="Heading3Char"/>
    <w:link w:val="TUSub-heading1"/>
    <w:qFormat/>
    <w:rsid w:val="00BA253C"/>
    <w:rPr>
      <w:rFonts w:ascii="Times New Roman" w:eastAsia="SimSun" w:hAnsi="Times New Roman" w:cs="TH Sarabun New"/>
      <w:b/>
      <w:bCs/>
      <w:szCs w:val="32"/>
      <w:lang w:val="en-GB"/>
    </w:rPr>
  </w:style>
  <w:style w:type="paragraph" w:styleId="Revision">
    <w:name w:val="Revision"/>
    <w:hidden/>
    <w:uiPriority w:val="99"/>
    <w:semiHidden/>
    <w:rsid w:val="00905E30"/>
    <w:rPr>
      <w:lang w:val="en-GB"/>
    </w:rPr>
  </w:style>
  <w:style w:type="character" w:styleId="CommentReference">
    <w:name w:val="annotation reference"/>
    <w:basedOn w:val="DefaultParagraphFont"/>
    <w:uiPriority w:val="99"/>
    <w:semiHidden/>
    <w:unhideWhenUsed/>
    <w:rsid w:val="00BF3C4E"/>
    <w:rPr>
      <w:sz w:val="16"/>
      <w:szCs w:val="16"/>
    </w:rPr>
  </w:style>
  <w:style w:type="paragraph" w:styleId="CommentText">
    <w:name w:val="annotation text"/>
    <w:basedOn w:val="Normal"/>
    <w:link w:val="CommentTextChar"/>
    <w:uiPriority w:val="99"/>
    <w:semiHidden/>
    <w:unhideWhenUsed/>
    <w:rsid w:val="006F7514"/>
    <w:rPr>
      <w:sz w:val="20"/>
      <w:szCs w:val="25"/>
    </w:rPr>
  </w:style>
  <w:style w:type="character" w:customStyle="1" w:styleId="CommentTextChar">
    <w:name w:val="Comment Text Char"/>
    <w:basedOn w:val="DefaultParagraphFont"/>
    <w:link w:val="CommentText"/>
    <w:uiPriority w:val="99"/>
    <w:semiHidden/>
    <w:rsid w:val="006F7514"/>
    <w:rPr>
      <w:sz w:val="20"/>
      <w:szCs w:val="25"/>
      <w:lang w:val="en-GB"/>
    </w:rPr>
  </w:style>
  <w:style w:type="paragraph" w:styleId="CommentSubject">
    <w:name w:val="annotation subject"/>
    <w:basedOn w:val="CommentText"/>
    <w:next w:val="CommentText"/>
    <w:link w:val="CommentSubjectChar"/>
    <w:uiPriority w:val="99"/>
    <w:semiHidden/>
    <w:unhideWhenUsed/>
    <w:rsid w:val="006F7514"/>
    <w:rPr>
      <w:b/>
      <w:bCs/>
    </w:rPr>
  </w:style>
  <w:style w:type="character" w:customStyle="1" w:styleId="CommentSubjectChar">
    <w:name w:val="Comment Subject Char"/>
    <w:basedOn w:val="CommentTextChar"/>
    <w:link w:val="CommentSubject"/>
    <w:uiPriority w:val="99"/>
    <w:semiHidden/>
    <w:rsid w:val="006F7514"/>
    <w:rPr>
      <w:b/>
      <w:bCs/>
      <w:sz w:val="20"/>
      <w:szCs w:val="25"/>
      <w:lang w:val="en-GB"/>
    </w:rPr>
  </w:style>
  <w:style w:type="character" w:styleId="Hyperlink">
    <w:name w:val="Hyperlink"/>
    <w:basedOn w:val="DefaultParagraphFont"/>
    <w:uiPriority w:val="99"/>
    <w:unhideWhenUsed/>
    <w:rsid w:val="006F7514"/>
    <w:rPr>
      <w:color w:val="0563C1" w:themeColor="hyperlink"/>
      <w:u w:val="single"/>
    </w:rPr>
  </w:style>
  <w:style w:type="character" w:customStyle="1" w:styleId="UnresolvedMention1">
    <w:name w:val="Unresolved Mention1"/>
    <w:basedOn w:val="DefaultParagraphFont"/>
    <w:uiPriority w:val="99"/>
    <w:semiHidden/>
    <w:unhideWhenUsed/>
    <w:rsid w:val="00F70807"/>
    <w:rPr>
      <w:color w:val="605E5C"/>
      <w:shd w:val="clear" w:color="auto" w:fill="E1DFDD"/>
    </w:rPr>
  </w:style>
  <w:style w:type="paragraph" w:styleId="ListParagraph">
    <w:name w:val="List Paragraph"/>
    <w:basedOn w:val="Normal"/>
    <w:uiPriority w:val="34"/>
    <w:qFormat/>
    <w:rsid w:val="00990543"/>
    <w:pPr>
      <w:ind w:left="720"/>
      <w:contextualSpacing/>
    </w:pPr>
  </w:style>
  <w:style w:type="table" w:styleId="TableGrid">
    <w:name w:val="Table Grid"/>
    <w:basedOn w:val="TableNormal"/>
    <w:uiPriority w:val="39"/>
    <w:rsid w:val="00610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0912"/>
    <w:rPr>
      <w:rFonts w:ascii="Tahoma" w:hAnsi="Tahoma" w:cs="Angsana New"/>
      <w:sz w:val="16"/>
      <w:szCs w:val="20"/>
    </w:rPr>
  </w:style>
  <w:style w:type="character" w:customStyle="1" w:styleId="BalloonTextChar">
    <w:name w:val="Balloon Text Char"/>
    <w:basedOn w:val="DefaultParagraphFont"/>
    <w:link w:val="BalloonText"/>
    <w:uiPriority w:val="99"/>
    <w:semiHidden/>
    <w:rsid w:val="007E0912"/>
    <w:rPr>
      <w:rFonts w:ascii="Tahoma" w:hAnsi="Tahoma" w:cs="Angsana New"/>
      <w:sz w:val="16"/>
      <w:szCs w:val="20"/>
      <w:lang w:val="en-GB"/>
    </w:rPr>
  </w:style>
  <w:style w:type="paragraph" w:styleId="Footer">
    <w:name w:val="footer"/>
    <w:basedOn w:val="Normal"/>
    <w:link w:val="FooterChar"/>
    <w:uiPriority w:val="99"/>
    <w:unhideWhenUsed/>
    <w:rsid w:val="00686C20"/>
    <w:pPr>
      <w:tabs>
        <w:tab w:val="center" w:pos="4680"/>
        <w:tab w:val="right" w:pos="9360"/>
      </w:tabs>
    </w:pPr>
  </w:style>
  <w:style w:type="character" w:customStyle="1" w:styleId="FooterChar">
    <w:name w:val="Footer Char"/>
    <w:basedOn w:val="DefaultParagraphFont"/>
    <w:link w:val="Footer"/>
    <w:uiPriority w:val="99"/>
    <w:rsid w:val="00686C2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6</Pages>
  <Words>2324</Words>
  <Characters>13251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Charles Reekie</dc:creator>
  <cp:lastModifiedBy>Peeratikarn Meesuwan</cp:lastModifiedBy>
  <cp:revision>22</cp:revision>
  <cp:lastPrinted>2024-04-10T08:58:00Z</cp:lastPrinted>
  <dcterms:created xsi:type="dcterms:W3CDTF">2024-04-02T04:08:00Z</dcterms:created>
  <dcterms:modified xsi:type="dcterms:W3CDTF">2024-10-30T03:52:00Z</dcterms:modified>
</cp:coreProperties>
</file>