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BB24" w14:textId="77777777"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noProof/>
          <w:szCs w:val="24"/>
          <w:lang w:val="en-US"/>
        </w:rPr>
        <w:drawing>
          <wp:inline distT="0" distB="0" distL="0" distR="0" wp14:anchorId="5816340B" wp14:editId="66D760FC">
            <wp:extent cx="948267" cy="1062484"/>
            <wp:effectExtent l="0" t="0" r="4445" b="4445"/>
            <wp:docPr id="1"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ird&#10;&#10;Description automatically generated with low confidence"/>
                    <pic:cNvPicPr/>
                  </pic:nvPicPr>
                  <pic:blipFill>
                    <a:blip r:embed="rId7"/>
                    <a:stretch>
                      <a:fillRect/>
                    </a:stretch>
                  </pic:blipFill>
                  <pic:spPr>
                    <a:xfrm>
                      <a:off x="0" y="0"/>
                      <a:ext cx="969842" cy="1086657"/>
                    </a:xfrm>
                    <a:prstGeom prst="rect">
                      <a:avLst/>
                    </a:prstGeom>
                  </pic:spPr>
                </pic:pic>
              </a:graphicData>
            </a:graphic>
          </wp:inline>
        </w:drawing>
      </w:r>
    </w:p>
    <w:p w14:paraId="24014E5D" w14:textId="77777777" w:rsidR="00BF3C4E" w:rsidRPr="00666D78" w:rsidRDefault="00BF3C4E" w:rsidP="00666D78">
      <w:pPr>
        <w:spacing w:line="276" w:lineRule="auto"/>
        <w:rPr>
          <w:rFonts w:ascii="Times New Roman" w:hAnsi="Times New Roman" w:cs="Times New Roman"/>
          <w:szCs w:val="24"/>
        </w:rPr>
      </w:pPr>
    </w:p>
    <w:p w14:paraId="61280A0B" w14:textId="3F4C6C1C" w:rsidR="00BF3C4E" w:rsidRPr="00666D78" w:rsidRDefault="00BF3C4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Thammasat University Regulations</w:t>
      </w:r>
      <w:r w:rsidRPr="00666D78">
        <w:rPr>
          <w:rFonts w:ascii="Times New Roman" w:hAnsi="Times New Roman" w:cs="Times New Roman"/>
          <w:b/>
          <w:bCs/>
          <w:szCs w:val="24"/>
        </w:rPr>
        <w:br/>
        <w:t xml:space="preserve">on Undergraduate </w:t>
      </w:r>
      <w:r w:rsidR="00E00AEE" w:rsidRPr="00666D78">
        <w:rPr>
          <w:rFonts w:ascii="Times New Roman" w:hAnsi="Times New Roman" w:cs="Times New Roman"/>
          <w:b/>
          <w:bCs/>
          <w:szCs w:val="24"/>
        </w:rPr>
        <w:t>Education</w:t>
      </w:r>
      <w:r w:rsidRPr="00666D78">
        <w:rPr>
          <w:rFonts w:ascii="Times New Roman" w:hAnsi="Times New Roman" w:cs="Times New Roman"/>
          <w:b/>
          <w:bCs/>
          <w:szCs w:val="24"/>
        </w:rPr>
        <w:t xml:space="preserve"> </w:t>
      </w:r>
      <w:r w:rsidR="0077272A" w:rsidRPr="0077272A">
        <w:rPr>
          <w:rFonts w:ascii="Times New Roman" w:hAnsi="Times New Roman" w:cs="Times New Roman"/>
          <w:b/>
          <w:bCs/>
          <w:szCs w:val="24"/>
        </w:rPr>
        <w:t>(No. 2) B.E. 2561 (2018)</w:t>
      </w:r>
    </w:p>
    <w:p w14:paraId="28F91259" w14:textId="77777777" w:rsidR="00BF3C4E" w:rsidRPr="00666D78" w:rsidRDefault="00BF3C4E" w:rsidP="00666D78">
      <w:pPr>
        <w:spacing w:line="276" w:lineRule="auto"/>
        <w:jc w:val="center"/>
        <w:rPr>
          <w:rFonts w:ascii="Times New Roman" w:hAnsi="Times New Roman" w:cs="Times New Roman"/>
          <w:szCs w:val="24"/>
        </w:rPr>
      </w:pPr>
    </w:p>
    <w:p w14:paraId="75218434" w14:textId="2B2441B2"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C679D33" w14:textId="037A9B35" w:rsidR="00BF3C4E" w:rsidRPr="00666D78" w:rsidRDefault="00BF3C4E" w:rsidP="00666D78">
      <w:pPr>
        <w:spacing w:line="276" w:lineRule="auto"/>
        <w:rPr>
          <w:rFonts w:ascii="Times New Roman" w:hAnsi="Times New Roman" w:cs="Times New Roman"/>
          <w:szCs w:val="24"/>
        </w:rPr>
      </w:pPr>
    </w:p>
    <w:p w14:paraId="2DC5CFD5" w14:textId="301D8F49" w:rsidR="00BF3C4E"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77272A" w:rsidRPr="0077272A">
        <w:rPr>
          <w:rFonts w:ascii="Times New Roman" w:hAnsi="Times New Roman" w:cs="Times New Roman"/>
          <w:szCs w:val="24"/>
        </w:rPr>
        <w:t xml:space="preserve">Whereas it is expedient to amend the Thammasat University Regulations </w:t>
      </w:r>
      <w:r w:rsidR="0077272A">
        <w:rPr>
          <w:rFonts w:ascii="Times New Roman" w:hAnsi="Times New Roman" w:cs="Times New Roman"/>
          <w:szCs w:val="24"/>
        </w:rPr>
        <w:br/>
      </w:r>
      <w:r w:rsidR="0077272A" w:rsidRPr="0077272A">
        <w:rPr>
          <w:rFonts w:ascii="Times New Roman" w:hAnsi="Times New Roman" w:cs="Times New Roman"/>
          <w:szCs w:val="24"/>
        </w:rPr>
        <w:t>on Undergraduate Education B.E. 2561 (2018);</w:t>
      </w:r>
    </w:p>
    <w:p w14:paraId="055525ED" w14:textId="598B264D" w:rsidR="006F7514"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77272A" w:rsidRPr="0077272A">
        <w:rPr>
          <w:rFonts w:ascii="Times New Roman" w:hAnsi="Times New Roman" w:cs="Times New Roman"/>
          <w:szCs w:val="24"/>
        </w:rPr>
        <w:t xml:space="preserve">By virtue of the powers conferred by Section 23 of the Thammasat University Act </w:t>
      </w:r>
      <w:r w:rsidR="0077272A">
        <w:rPr>
          <w:rFonts w:ascii="Times New Roman" w:hAnsi="Times New Roman" w:cs="Times New Roman"/>
          <w:szCs w:val="24"/>
        </w:rPr>
        <w:br/>
      </w:r>
      <w:r w:rsidR="0077272A" w:rsidRPr="0077272A">
        <w:rPr>
          <w:rFonts w:ascii="Times New Roman" w:hAnsi="Times New Roman" w:cs="Times New Roman"/>
          <w:szCs w:val="24"/>
        </w:rPr>
        <w:t>B.E. 2558 (2015), the University Council passed a resolution in meeting no. 7/2561 on 23 July B.E. 2560 (2017) approving the issuance of these Regulations.</w:t>
      </w:r>
    </w:p>
    <w:p w14:paraId="347717E6" w14:textId="6962DD65" w:rsidR="006F7514" w:rsidRPr="00666D78" w:rsidRDefault="006F7514" w:rsidP="00666D78">
      <w:pPr>
        <w:spacing w:line="276" w:lineRule="auto"/>
        <w:jc w:val="both"/>
        <w:rPr>
          <w:rFonts w:ascii="Times New Roman" w:hAnsi="Times New Roman" w:cs="Times New Roman"/>
          <w:szCs w:val="24"/>
        </w:rPr>
      </w:pPr>
    </w:p>
    <w:p w14:paraId="2C4E0785" w14:textId="790E9FAF" w:rsidR="006F7514"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1</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77272A" w:rsidRPr="0077272A">
        <w:rPr>
          <w:rFonts w:ascii="Times New Roman" w:hAnsi="Times New Roman" w:cs="Times New Roman"/>
          <w:szCs w:val="24"/>
        </w:rPr>
        <w:t xml:space="preserve">These Regulations are called “Thammasat University Regulations </w:t>
      </w:r>
      <w:r w:rsidR="0077272A">
        <w:rPr>
          <w:rFonts w:ascii="Times New Roman" w:hAnsi="Times New Roman" w:cs="Times New Roman"/>
          <w:szCs w:val="24"/>
        </w:rPr>
        <w:br/>
      </w:r>
      <w:r w:rsidR="0077272A" w:rsidRPr="0077272A">
        <w:rPr>
          <w:rFonts w:ascii="Times New Roman" w:hAnsi="Times New Roman" w:cs="Times New Roman"/>
          <w:szCs w:val="24"/>
        </w:rPr>
        <w:t>on Undergraduate Education as amended to date (No. 2) B.E. 2561 (2018)”.</w:t>
      </w:r>
    </w:p>
    <w:p w14:paraId="70E63987" w14:textId="77777777" w:rsidR="006F7514" w:rsidRPr="00666D78" w:rsidRDefault="006F7514" w:rsidP="00666D78">
      <w:pPr>
        <w:spacing w:line="276" w:lineRule="auto"/>
        <w:jc w:val="both"/>
        <w:rPr>
          <w:rFonts w:ascii="Times New Roman" w:hAnsi="Times New Roman" w:cs="Times New Roman"/>
          <w:szCs w:val="24"/>
        </w:rPr>
      </w:pPr>
    </w:p>
    <w:p w14:paraId="7AC59297" w14:textId="149870B0" w:rsidR="005C7A17"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2</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77272A" w:rsidRPr="0077272A">
        <w:rPr>
          <w:rFonts w:ascii="Times New Roman" w:hAnsi="Times New Roman" w:cs="Times New Roman"/>
          <w:szCs w:val="24"/>
        </w:rPr>
        <w:t xml:space="preserve">These Regulations will apply to students who are registered as students </w:t>
      </w:r>
      <w:r w:rsidR="0077272A">
        <w:rPr>
          <w:rFonts w:ascii="Times New Roman" w:hAnsi="Times New Roman" w:cs="Times New Roman"/>
          <w:szCs w:val="24"/>
        </w:rPr>
        <w:br/>
      </w:r>
      <w:r w:rsidR="0077272A" w:rsidRPr="0077272A">
        <w:rPr>
          <w:rFonts w:ascii="Times New Roman" w:hAnsi="Times New Roman" w:cs="Times New Roman"/>
          <w:szCs w:val="24"/>
        </w:rPr>
        <w:t>at bachelor’s degree level in academic year 2561 (2018) onwards.</w:t>
      </w:r>
    </w:p>
    <w:p w14:paraId="1FA0F6C0" w14:textId="77777777" w:rsidR="00C30647" w:rsidRPr="00666D78" w:rsidRDefault="00C30647" w:rsidP="00666D78">
      <w:pPr>
        <w:spacing w:line="276" w:lineRule="auto"/>
        <w:jc w:val="both"/>
        <w:rPr>
          <w:rFonts w:ascii="Times New Roman" w:hAnsi="Times New Roman" w:cs="Times New Roman"/>
          <w:szCs w:val="24"/>
        </w:rPr>
      </w:pPr>
    </w:p>
    <w:p w14:paraId="089594BC" w14:textId="00BB8E36" w:rsidR="005C7A17" w:rsidRDefault="00C30647" w:rsidP="0077272A">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 xml:space="preserve">Article </w:t>
      </w:r>
      <w:r w:rsidR="0077272A">
        <w:rPr>
          <w:rFonts w:ascii="Times New Roman" w:hAnsi="Times New Roman" w:cs="Times New Roman"/>
          <w:b/>
          <w:bCs/>
          <w:szCs w:val="24"/>
        </w:rPr>
        <w:t>3</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In </w:t>
      </w:r>
      <w:r w:rsidRPr="00666D78">
        <w:rPr>
          <w:rFonts w:ascii="Times New Roman" w:hAnsi="Times New Roman" w:cs="Times New Roman"/>
          <w:szCs w:val="24"/>
        </w:rPr>
        <w:t>these Regulations:</w:t>
      </w:r>
    </w:p>
    <w:p w14:paraId="364B5D33" w14:textId="6A2C67A8" w:rsidR="0077272A" w:rsidRPr="00666D78" w:rsidRDefault="0077272A" w:rsidP="0077272A">
      <w:pPr>
        <w:spacing w:line="276" w:lineRule="auto"/>
        <w:jc w:val="thaiDistribute"/>
        <w:rPr>
          <w:rFonts w:ascii="Times New Roman" w:hAnsi="Times New Roman" w:cs="Times New Roman"/>
          <w:szCs w:val="24"/>
        </w:rPr>
      </w:pPr>
      <w:r>
        <w:rPr>
          <w:rFonts w:ascii="Times New Roman" w:hAnsi="Times New Roman" w:cs="Times New Roman"/>
          <w:szCs w:val="24"/>
        </w:rPr>
        <w:tab/>
      </w:r>
      <w:r w:rsidRPr="0077272A">
        <w:rPr>
          <w:rFonts w:ascii="Times New Roman" w:hAnsi="Times New Roman" w:cs="Times New Roman"/>
          <w:szCs w:val="24"/>
        </w:rPr>
        <w:t>“Annual Education Organi</w:t>
      </w:r>
      <w:r w:rsidR="00175A76">
        <w:rPr>
          <w:rFonts w:ascii="Times New Roman" w:hAnsi="Times New Roman" w:cs="Times New Roman"/>
          <w:szCs w:val="24"/>
        </w:rPr>
        <w:t>s</w:t>
      </w:r>
      <w:r w:rsidRPr="0077272A">
        <w:rPr>
          <w:rFonts w:ascii="Times New Roman" w:hAnsi="Times New Roman" w:cs="Times New Roman"/>
          <w:szCs w:val="24"/>
        </w:rPr>
        <w:t xml:space="preserve">ation” means education management pursuant to the system of the University that has a single enrolment throughout the academic year, which will proceed subject to conditions that are, a Programme may prescribe practical courses in the final year, with 6 or more courses for registration, or with 18 or more combined credits for registration, and with limitations on the sources of training that are to be in accordance with the specifications of the agency that is to certify the Programme, or being </w:t>
      </w:r>
      <w:r>
        <w:rPr>
          <w:rFonts w:ascii="Times New Roman" w:hAnsi="Times New Roman" w:cs="Times New Roman"/>
          <w:szCs w:val="24"/>
        </w:rPr>
        <w:br/>
      </w:r>
      <w:r w:rsidRPr="0077272A">
        <w:rPr>
          <w:rFonts w:ascii="Times New Roman" w:hAnsi="Times New Roman" w:cs="Times New Roman"/>
          <w:szCs w:val="24"/>
        </w:rPr>
        <w:t>a Programme that has education and practice that divides learners into groups rotating between each course, with a period of time of not less than thirty weeks and not more than thirty-six weeks, and that has a period of time for commencing education, a period of time for education and for ending education in accordance with the academic calendar of the University.</w:t>
      </w:r>
    </w:p>
    <w:p w14:paraId="5D49AE88" w14:textId="24FD551C" w:rsidR="00041B6A"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szCs w:val="24"/>
        </w:rPr>
        <w:t xml:space="preserve"> </w:t>
      </w:r>
    </w:p>
    <w:p w14:paraId="49513D7A" w14:textId="77777777" w:rsidR="0077272A" w:rsidRPr="0077272A" w:rsidRDefault="00C30647" w:rsidP="0077272A">
      <w:pPr>
        <w:spacing w:line="276" w:lineRule="auto"/>
        <w:jc w:val="thaiDistribute"/>
        <w:rPr>
          <w:rFonts w:ascii="Times New Roman" w:hAnsi="Times New Roman" w:cs="Times New Roman"/>
          <w:szCs w:val="24"/>
        </w:rPr>
      </w:pPr>
      <w:r w:rsidRPr="00666D78">
        <w:rPr>
          <w:rFonts w:ascii="Times New Roman" w:hAnsi="Times New Roman" w:cs="Times New Roman"/>
          <w:b/>
          <w:szCs w:val="24"/>
        </w:rPr>
        <w:tab/>
        <w:t>Article</w:t>
      </w:r>
      <w:r w:rsidR="005C7A17" w:rsidRPr="00666D78">
        <w:rPr>
          <w:rFonts w:ascii="Times New Roman" w:hAnsi="Times New Roman" w:cs="Times New Roman"/>
          <w:b/>
          <w:bCs/>
          <w:szCs w:val="24"/>
        </w:rPr>
        <w:t xml:space="preserve"> </w:t>
      </w:r>
      <w:r w:rsidR="0077272A">
        <w:rPr>
          <w:rFonts w:ascii="Times New Roman" w:hAnsi="Times New Roman" w:cs="Times New Roman"/>
          <w:b/>
          <w:bCs/>
          <w:szCs w:val="24"/>
        </w:rPr>
        <w:t>4</w:t>
      </w:r>
      <w:r w:rsidRPr="00666D78">
        <w:rPr>
          <w:rFonts w:ascii="Times New Roman" w:hAnsi="Times New Roman" w:cs="Times New Roman"/>
          <w:b/>
          <w:bCs/>
          <w:szCs w:val="24"/>
        </w:rPr>
        <w:t xml:space="preserve">. </w:t>
      </w:r>
      <w:r w:rsidR="005C7A17" w:rsidRPr="00666D78">
        <w:rPr>
          <w:rFonts w:ascii="Times New Roman" w:hAnsi="Times New Roman" w:cs="Times New Roman"/>
          <w:szCs w:val="24"/>
        </w:rPr>
        <w:t xml:space="preserve"> </w:t>
      </w:r>
      <w:r w:rsidR="0077272A" w:rsidRPr="0077272A">
        <w:rPr>
          <w:rFonts w:ascii="Times New Roman" w:hAnsi="Times New Roman" w:cs="Times New Roman"/>
          <w:szCs w:val="24"/>
        </w:rPr>
        <w:t>The content of Article 7 Education Management of the Thammasat University Regulations on Undergraduate Education B.E. 2561 (2018) will be repealed and replaced with the following:</w:t>
      </w:r>
    </w:p>
    <w:p w14:paraId="4CB054AD" w14:textId="77777777" w:rsidR="0077272A" w:rsidRPr="0077272A" w:rsidRDefault="0077272A" w:rsidP="0077272A">
      <w:pPr>
        <w:spacing w:line="276" w:lineRule="auto"/>
        <w:jc w:val="thaiDistribute"/>
        <w:rPr>
          <w:rFonts w:ascii="Times New Roman" w:hAnsi="Times New Roman" w:cs="Times New Roman"/>
          <w:szCs w:val="24"/>
        </w:rPr>
      </w:pPr>
      <w:r w:rsidRPr="0077272A">
        <w:rPr>
          <w:rFonts w:ascii="Times New Roman" w:hAnsi="Times New Roman" w:cs="Times New Roman"/>
          <w:szCs w:val="24"/>
        </w:rPr>
        <w:tab/>
        <w:t>“Article 7.  The education management of the University has 2 systems, as follows:</w:t>
      </w:r>
    </w:p>
    <w:p w14:paraId="23AD4525" w14:textId="77777777" w:rsidR="0077272A" w:rsidRPr="0077272A" w:rsidRDefault="0077272A" w:rsidP="0077272A">
      <w:pPr>
        <w:spacing w:line="276" w:lineRule="auto"/>
        <w:jc w:val="thaiDistribute"/>
        <w:rPr>
          <w:rFonts w:ascii="Times New Roman" w:hAnsi="Times New Roman" w:cs="Times New Roman"/>
          <w:szCs w:val="24"/>
        </w:rPr>
      </w:pPr>
      <w:r w:rsidRPr="0077272A">
        <w:rPr>
          <w:rFonts w:ascii="Times New Roman" w:hAnsi="Times New Roman" w:cs="Times New Roman"/>
          <w:szCs w:val="24"/>
        </w:rPr>
        <w:lastRenderedPageBreak/>
        <w:tab/>
      </w:r>
      <w:r w:rsidRPr="0077272A">
        <w:rPr>
          <w:rFonts w:ascii="Times New Roman" w:hAnsi="Times New Roman" w:cs="Times New Roman"/>
          <w:szCs w:val="24"/>
        </w:rPr>
        <w:tab/>
        <w:t>(1) the bi-semester system: education management in which one academic year has two Semesters, Semester 1 and Semester 2, and may also have a summer semester following Semester 2; and</w:t>
      </w:r>
    </w:p>
    <w:p w14:paraId="49425D2E" w14:textId="77777777" w:rsidR="0077272A" w:rsidRPr="0077272A" w:rsidRDefault="0077272A" w:rsidP="0077272A">
      <w:pPr>
        <w:spacing w:line="276" w:lineRule="auto"/>
        <w:jc w:val="thaiDistribute"/>
        <w:rPr>
          <w:rFonts w:ascii="Times New Roman" w:hAnsi="Times New Roman" w:cs="Times New Roman"/>
          <w:szCs w:val="24"/>
        </w:rPr>
      </w:pPr>
      <w:r w:rsidRPr="0077272A">
        <w:rPr>
          <w:rFonts w:ascii="Times New Roman" w:hAnsi="Times New Roman" w:cs="Times New Roman"/>
          <w:szCs w:val="24"/>
        </w:rPr>
        <w:tab/>
      </w:r>
      <w:r w:rsidRPr="0077272A">
        <w:rPr>
          <w:rFonts w:ascii="Times New Roman" w:hAnsi="Times New Roman" w:cs="Times New Roman"/>
          <w:szCs w:val="24"/>
        </w:rPr>
        <w:tab/>
        <w:t>(2) the tri-semester system: education management in which one academic year has three Semesters, Semester 1, Semester 2, and Semester 3.</w:t>
      </w:r>
    </w:p>
    <w:p w14:paraId="11FD8528" w14:textId="77777777" w:rsidR="0077272A" w:rsidRPr="0077272A" w:rsidRDefault="0077272A" w:rsidP="0077272A">
      <w:pPr>
        <w:spacing w:line="276" w:lineRule="auto"/>
        <w:jc w:val="thaiDistribute"/>
        <w:rPr>
          <w:rFonts w:ascii="Times New Roman" w:hAnsi="Times New Roman" w:cs="Times New Roman"/>
          <w:szCs w:val="24"/>
        </w:rPr>
      </w:pPr>
      <w:r w:rsidRPr="0077272A">
        <w:rPr>
          <w:rFonts w:ascii="Times New Roman" w:hAnsi="Times New Roman" w:cs="Times New Roman"/>
          <w:szCs w:val="24"/>
        </w:rPr>
        <w:tab/>
        <w:t>Education management pursuant to paragraph one may use Annual Education Management.</w:t>
      </w:r>
    </w:p>
    <w:p w14:paraId="45EA0208" w14:textId="77777777" w:rsidR="0077272A" w:rsidRPr="0077272A" w:rsidRDefault="0077272A" w:rsidP="0077272A">
      <w:pPr>
        <w:spacing w:line="276" w:lineRule="auto"/>
        <w:jc w:val="thaiDistribute"/>
        <w:rPr>
          <w:rFonts w:ascii="Times New Roman" w:hAnsi="Times New Roman" w:cs="Times New Roman"/>
          <w:szCs w:val="24"/>
        </w:rPr>
      </w:pPr>
      <w:r w:rsidRPr="0077272A">
        <w:rPr>
          <w:rFonts w:ascii="Times New Roman" w:hAnsi="Times New Roman" w:cs="Times New Roman"/>
          <w:szCs w:val="24"/>
        </w:rPr>
        <w:tab/>
        <w:t>In education management pursuant to paragraph one, the method of teaching may be designed to divide the periods of education according to educational topics that have equivalent volumes of learning content as the bi-semester system or the tri-semester system, as the case may be.</w:t>
      </w:r>
    </w:p>
    <w:p w14:paraId="106F7B3E" w14:textId="163ECC28" w:rsidR="00A35011" w:rsidRPr="00197DC4" w:rsidRDefault="0077272A" w:rsidP="0077272A">
      <w:pPr>
        <w:spacing w:line="276" w:lineRule="auto"/>
        <w:jc w:val="thaiDistribute"/>
        <w:rPr>
          <w:rFonts w:ascii="Times New Roman" w:hAnsi="Times New Roman"/>
          <w:szCs w:val="24"/>
        </w:rPr>
      </w:pPr>
      <w:r w:rsidRPr="0077272A">
        <w:rPr>
          <w:rFonts w:ascii="Times New Roman" w:hAnsi="Times New Roman" w:cs="Times New Roman"/>
          <w:szCs w:val="24"/>
        </w:rPr>
        <w:tab/>
        <w:t>The education management of any programme of education in accordance with the system under paragraph one will be subject to the power of the University Council to consider and authorise.</w:t>
      </w:r>
      <w:r w:rsidR="00992AB9">
        <w:rPr>
          <w:rFonts w:ascii="Times New Roman" w:hAnsi="Times New Roman" w:cs="Times New Roman"/>
          <w:szCs w:val="24"/>
        </w:rPr>
        <w:t>”</w:t>
      </w:r>
    </w:p>
    <w:p w14:paraId="39DB3D93" w14:textId="71EC5CD4" w:rsidR="00F70807" w:rsidRPr="00666D78" w:rsidRDefault="00F70807" w:rsidP="00666D78">
      <w:pPr>
        <w:spacing w:line="276" w:lineRule="auto"/>
        <w:jc w:val="both"/>
        <w:rPr>
          <w:rFonts w:ascii="Times New Roman" w:hAnsi="Times New Roman" w:cs="Times New Roman"/>
          <w:szCs w:val="24"/>
        </w:rPr>
      </w:pPr>
    </w:p>
    <w:p w14:paraId="66A40F8D" w14:textId="77777777" w:rsidR="0077272A" w:rsidRPr="0077272A" w:rsidRDefault="00C30647" w:rsidP="0077272A">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F70807" w:rsidRPr="00666D78">
        <w:rPr>
          <w:rFonts w:ascii="Times New Roman" w:hAnsi="Times New Roman" w:cs="Times New Roman"/>
          <w:b/>
          <w:szCs w:val="24"/>
        </w:rPr>
        <w:t xml:space="preserve"> </w:t>
      </w:r>
      <w:r w:rsidR="0077272A">
        <w:rPr>
          <w:rFonts w:ascii="Times New Roman" w:hAnsi="Times New Roman" w:cs="Times New Roman"/>
          <w:b/>
          <w:szCs w:val="24"/>
        </w:rPr>
        <w:t>5</w:t>
      </w:r>
      <w:r w:rsidR="00F70807" w:rsidRPr="00666D78">
        <w:rPr>
          <w:rFonts w:ascii="Times New Roman" w:hAnsi="Times New Roman" w:cs="Times New Roman"/>
          <w:b/>
          <w:szCs w:val="24"/>
        </w:rPr>
        <w:t>.</w:t>
      </w:r>
      <w:r w:rsidR="00F70807" w:rsidRPr="00666D78">
        <w:rPr>
          <w:rFonts w:ascii="Times New Roman" w:hAnsi="Times New Roman" w:cs="Times New Roman"/>
          <w:szCs w:val="24"/>
        </w:rPr>
        <w:t xml:space="preserve">  </w:t>
      </w:r>
      <w:r w:rsidR="0077272A" w:rsidRPr="0077272A">
        <w:rPr>
          <w:rFonts w:ascii="Times New Roman" w:hAnsi="Times New Roman" w:cs="Times New Roman"/>
          <w:szCs w:val="24"/>
        </w:rPr>
        <w:t>The following will be added to paragraph one in Article 18 of the Thammasat University Regulations on Undergraduate Education B.E. 2561 (2018):</w:t>
      </w:r>
    </w:p>
    <w:p w14:paraId="3EF57302" w14:textId="77777777"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“Article 18.  Enrolment in courses will be in accordance with conditions specified by the Programme. Regarding a student who wishes to enrol in any course that has conditions prior to enrolment in that course, that student may receive an exception by conducting himself or herself in accordance with announcements of the University.”</w:t>
      </w:r>
    </w:p>
    <w:p w14:paraId="6949E4F2" w14:textId="77777777"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For the quality of education management, the Dean may prescribe conditions or limitations on the number of students who are to enrol in any course, by way of an announcement of the Faculty.</w:t>
      </w:r>
    </w:p>
    <w:p w14:paraId="348E6805" w14:textId="24D7BFFA" w:rsidR="00F70807"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An announcement that a course will be added or that any course will be closed for which students have already registered shall be made during the seven days from and including the opening day of the Semester or during the four days from and including the opening day of the summer semester.</w:t>
      </w:r>
      <w:r w:rsidR="00D13F38">
        <w:rPr>
          <w:rFonts w:ascii="Times New Roman" w:hAnsi="Times New Roman" w:cs="Times New Roman"/>
          <w:szCs w:val="24"/>
        </w:rPr>
        <w:t>”</w:t>
      </w:r>
      <w:bookmarkStart w:id="0" w:name="_GoBack"/>
      <w:bookmarkEnd w:id="0"/>
    </w:p>
    <w:p w14:paraId="4573201D" w14:textId="6CA3D9A4" w:rsidR="0077272A" w:rsidRDefault="0077272A" w:rsidP="0077272A">
      <w:pPr>
        <w:spacing w:line="276" w:lineRule="auto"/>
        <w:jc w:val="both"/>
        <w:rPr>
          <w:rFonts w:ascii="Times New Roman" w:hAnsi="Times New Roman" w:cs="Times New Roman"/>
          <w:szCs w:val="24"/>
        </w:rPr>
      </w:pPr>
    </w:p>
    <w:p w14:paraId="7569A012" w14:textId="0D9A6A1B" w:rsidR="0077272A" w:rsidRPr="0077272A" w:rsidRDefault="0077272A" w:rsidP="0077272A">
      <w:pPr>
        <w:spacing w:line="276" w:lineRule="auto"/>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b/>
          <w:bCs/>
          <w:szCs w:val="24"/>
        </w:rPr>
        <w:t xml:space="preserve">Article 6. </w:t>
      </w:r>
      <w:r w:rsidRPr="0077272A">
        <w:rPr>
          <w:rFonts w:ascii="Times New Roman" w:hAnsi="Times New Roman" w:cs="Times New Roman"/>
          <w:szCs w:val="24"/>
        </w:rPr>
        <w:t xml:space="preserve">The content of Article 42 Assessing Educational Results of the Thammasat University Regulations on Undergraduate Education B.E. 2561 (2018) will be repealed </w:t>
      </w:r>
      <w:r>
        <w:rPr>
          <w:rFonts w:ascii="Times New Roman" w:hAnsi="Times New Roman" w:cs="Times New Roman"/>
          <w:szCs w:val="24"/>
        </w:rPr>
        <w:br/>
      </w:r>
      <w:r w:rsidRPr="0077272A">
        <w:rPr>
          <w:rFonts w:ascii="Times New Roman" w:hAnsi="Times New Roman" w:cs="Times New Roman"/>
          <w:szCs w:val="24"/>
        </w:rPr>
        <w:t>and replaced with the following:</w:t>
      </w:r>
    </w:p>
    <w:p w14:paraId="702EC8EC" w14:textId="77777777"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“Article 42.  The University shall procure assessments of educational results for courses in which students have enrolled in a Semester or summer semester.</w:t>
      </w:r>
    </w:p>
    <w:p w14:paraId="4DDF05A3" w14:textId="77E553B7"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 xml:space="preserve">Assessments of education results may be conducted during a Semester by a method </w:t>
      </w:r>
      <w:r>
        <w:rPr>
          <w:rFonts w:ascii="Times New Roman" w:hAnsi="Times New Roman" w:cs="Times New Roman"/>
          <w:szCs w:val="24"/>
        </w:rPr>
        <w:br/>
      </w:r>
      <w:r w:rsidRPr="0077272A">
        <w:rPr>
          <w:rFonts w:ascii="Times New Roman" w:hAnsi="Times New Roman" w:cs="Times New Roman"/>
          <w:szCs w:val="24"/>
        </w:rPr>
        <w:t>of reports from books assigned for reading, group work, tests during the Semester, authoring independent studies for the course, or by other methods, and at the end of the Semester there will be a final examination for each course studied in that Semester.</w:t>
      </w:r>
    </w:p>
    <w:p w14:paraId="7FE81A73" w14:textId="33C97F61"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 xml:space="preserve">For any course that does not have a final examination at the end of the Semester, </w:t>
      </w:r>
      <w:r>
        <w:rPr>
          <w:rFonts w:ascii="Times New Roman" w:hAnsi="Times New Roman" w:cs="Times New Roman"/>
          <w:szCs w:val="24"/>
        </w:rPr>
        <w:br/>
      </w:r>
      <w:r w:rsidRPr="0077272A">
        <w:rPr>
          <w:rFonts w:ascii="Times New Roman" w:hAnsi="Times New Roman" w:cs="Times New Roman"/>
          <w:szCs w:val="24"/>
        </w:rPr>
        <w:t>the Dean shall make an announcement.</w:t>
      </w:r>
    </w:p>
    <w:p w14:paraId="064B9EA0" w14:textId="77777777"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lastRenderedPageBreak/>
        <w:tab/>
        <w:t>Assessment of educational results for courses with annual enrolment will be by assessment and evaluation at the end of the academic year.</w:t>
      </w:r>
    </w:p>
    <w:p w14:paraId="64E15200" w14:textId="1E110285" w:rsidR="0077272A" w:rsidRPr="0077272A"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In certain cases, the University may use a method of testing equivalent knowledge in place of an assessment of educational results pursuant to the provisions of paragraph one.”</w:t>
      </w:r>
    </w:p>
    <w:p w14:paraId="33EE4C7E" w14:textId="77777777" w:rsidR="00F70807" w:rsidRPr="00666D78" w:rsidRDefault="00F70807" w:rsidP="00666D78">
      <w:pPr>
        <w:spacing w:line="276" w:lineRule="auto"/>
        <w:jc w:val="both"/>
        <w:rPr>
          <w:rFonts w:ascii="Times New Roman" w:hAnsi="Times New Roman" w:cs="Times New Roman"/>
          <w:szCs w:val="24"/>
        </w:rPr>
      </w:pPr>
    </w:p>
    <w:p w14:paraId="692AA77F" w14:textId="77777777" w:rsidR="0077272A" w:rsidRPr="0077272A" w:rsidRDefault="00C30647" w:rsidP="0077272A">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232D5B" w:rsidRPr="00666D78">
        <w:rPr>
          <w:rFonts w:ascii="Times New Roman" w:hAnsi="Times New Roman" w:cs="Times New Roman"/>
          <w:b/>
          <w:szCs w:val="24"/>
        </w:rPr>
        <w:t xml:space="preserve"> </w:t>
      </w:r>
      <w:r w:rsidR="005C7A17" w:rsidRPr="00666D78">
        <w:rPr>
          <w:rFonts w:ascii="Times New Roman" w:hAnsi="Times New Roman" w:cs="Times New Roman"/>
          <w:b/>
          <w:szCs w:val="24"/>
        </w:rPr>
        <w:t>7</w:t>
      </w:r>
      <w:r w:rsidR="00232D5B" w:rsidRPr="00666D78">
        <w:rPr>
          <w:rFonts w:ascii="Times New Roman" w:hAnsi="Times New Roman" w:cs="Times New Roman"/>
          <w:b/>
          <w:szCs w:val="24"/>
        </w:rPr>
        <w:t>.</w:t>
      </w:r>
      <w:r w:rsidR="00232D5B"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77272A" w:rsidRPr="0077272A">
        <w:rPr>
          <w:rFonts w:ascii="Times New Roman" w:hAnsi="Times New Roman" w:cs="Times New Roman"/>
          <w:szCs w:val="24"/>
        </w:rPr>
        <w:t>An additional Article 79 Transitional Provisions will be added to the Thammasat University Regulations on Undergraduate Education B.E. 2561 (2018) as follows:</w:t>
      </w:r>
    </w:p>
    <w:p w14:paraId="4CFCBB3E" w14:textId="2468A421" w:rsidR="00990543" w:rsidRPr="00666D78" w:rsidRDefault="0077272A" w:rsidP="0077272A">
      <w:pPr>
        <w:spacing w:line="276" w:lineRule="auto"/>
        <w:jc w:val="both"/>
        <w:rPr>
          <w:rFonts w:ascii="Times New Roman" w:hAnsi="Times New Roman" w:cs="Times New Roman"/>
          <w:szCs w:val="24"/>
        </w:rPr>
      </w:pPr>
      <w:r w:rsidRPr="0077272A">
        <w:rPr>
          <w:rFonts w:ascii="Times New Roman" w:hAnsi="Times New Roman" w:cs="Times New Roman"/>
          <w:szCs w:val="24"/>
        </w:rPr>
        <w:tab/>
        <w:t>“Article 79.  If a Programme has received authorisation for students to use annual enrolment, a student who registered as a student of the University prior to academic year 2561 (2018) pursuant to undergraduate regulations of B.E. 2550 (2007) will be able to enrol on an annual basis pursuant to Article 7 and will have the method of assessment and evaluation of educational results pursuant to Article 42 of these Regulations.”</w:t>
      </w:r>
    </w:p>
    <w:p w14:paraId="44A2AF1D" w14:textId="47584C4E" w:rsidR="00C61760" w:rsidRDefault="00FD31B9" w:rsidP="0077272A">
      <w:pPr>
        <w:spacing w:line="276" w:lineRule="auto"/>
        <w:jc w:val="both"/>
        <w:rPr>
          <w:rFonts w:ascii="Times New Roman" w:hAnsi="Times New Roman" w:cs="Times New Roman"/>
          <w:b/>
          <w:szCs w:val="24"/>
        </w:rPr>
      </w:pPr>
      <w:r w:rsidRPr="00666D78">
        <w:rPr>
          <w:rFonts w:ascii="Times New Roman" w:hAnsi="Times New Roman" w:cs="Times New Roman"/>
          <w:szCs w:val="24"/>
        </w:rPr>
        <w:tab/>
      </w:r>
    </w:p>
    <w:p w14:paraId="48A1BF7C" w14:textId="003BD0EB" w:rsidR="002F7072" w:rsidRDefault="002F7072" w:rsidP="00666D78">
      <w:pPr>
        <w:spacing w:line="276" w:lineRule="auto"/>
        <w:jc w:val="both"/>
        <w:rPr>
          <w:rFonts w:ascii="Times New Roman" w:hAnsi="Times New Roman" w:cs="Times New Roman"/>
          <w:b/>
          <w:szCs w:val="24"/>
        </w:rPr>
      </w:pPr>
    </w:p>
    <w:p w14:paraId="11CA64D2" w14:textId="77777777" w:rsidR="002F7072" w:rsidRPr="00666D78" w:rsidRDefault="002F7072" w:rsidP="00666D78">
      <w:pPr>
        <w:spacing w:line="276" w:lineRule="auto"/>
        <w:jc w:val="both"/>
        <w:rPr>
          <w:rFonts w:ascii="Times New Roman" w:hAnsi="Times New Roman" w:cs="Times New Roman"/>
          <w:b/>
          <w:szCs w:val="24"/>
        </w:rPr>
      </w:pPr>
    </w:p>
    <w:p w14:paraId="47D88078" w14:textId="343B7597" w:rsidR="00C6414B" w:rsidRPr="00666D78"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r>
      <w:r w:rsidR="0077272A" w:rsidRPr="0077272A">
        <w:rPr>
          <w:rFonts w:ascii="Times New Roman" w:hAnsi="Times New Roman" w:cs="Times New Roman"/>
          <w:szCs w:val="24"/>
        </w:rPr>
        <w:t>Announced on 23 July B.E. 2561 (2018)</w:t>
      </w:r>
    </w:p>
    <w:p w14:paraId="57C5483F" w14:textId="77777777" w:rsidR="00C6414B" w:rsidRPr="00666D78" w:rsidRDefault="00C6414B" w:rsidP="00666D78">
      <w:pPr>
        <w:spacing w:line="276" w:lineRule="auto"/>
        <w:jc w:val="both"/>
        <w:rPr>
          <w:rFonts w:ascii="Times New Roman" w:hAnsi="Times New Roman" w:cs="Times New Roman"/>
          <w:szCs w:val="24"/>
        </w:rPr>
      </w:pPr>
    </w:p>
    <w:p w14:paraId="46716BC2"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r w:rsidRPr="00666D78">
        <w:rPr>
          <w:rFonts w:ascii="Times New Roman" w:hAnsi="Times New Roman" w:cs="Times New Roman"/>
          <w:i/>
          <w:iCs/>
          <w:szCs w:val="24"/>
        </w:rPr>
        <w:t>Signature</w:t>
      </w:r>
      <w:r w:rsidRPr="00666D78">
        <w:rPr>
          <w:rFonts w:ascii="Times New Roman" w:hAnsi="Times New Roman" w:cs="Times New Roman"/>
          <w:szCs w:val="24"/>
        </w:rPr>
        <w:t>]</w:t>
      </w:r>
    </w:p>
    <w:p w14:paraId="083FC746" w14:textId="77777777" w:rsidR="00C6414B" w:rsidRPr="00666D78" w:rsidRDefault="00C6414B" w:rsidP="00666D78">
      <w:pPr>
        <w:spacing w:line="276" w:lineRule="auto"/>
        <w:jc w:val="center"/>
        <w:rPr>
          <w:rFonts w:ascii="Times New Roman" w:hAnsi="Times New Roman" w:cs="Times New Roman"/>
          <w:szCs w:val="24"/>
        </w:rPr>
      </w:pPr>
    </w:p>
    <w:p w14:paraId="11CC7B16"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(Adjunct Professor </w:t>
      </w:r>
      <w:proofErr w:type="spellStart"/>
      <w:r w:rsidRPr="00666D78">
        <w:rPr>
          <w:rFonts w:ascii="Times New Roman" w:hAnsi="Times New Roman" w:cs="Times New Roman"/>
          <w:szCs w:val="24"/>
        </w:rPr>
        <w:t>Noranit</w:t>
      </w:r>
      <w:proofErr w:type="spellEnd"/>
      <w:r w:rsidRPr="00666D78">
        <w:rPr>
          <w:rFonts w:ascii="Times New Roman" w:hAnsi="Times New Roman" w:cs="Times New Roman"/>
          <w:szCs w:val="24"/>
        </w:rPr>
        <w:t xml:space="preserve"> </w:t>
      </w:r>
      <w:proofErr w:type="spellStart"/>
      <w:r w:rsidRPr="00666D78">
        <w:rPr>
          <w:rFonts w:ascii="Times New Roman" w:hAnsi="Times New Roman" w:cs="Times New Roman"/>
          <w:szCs w:val="24"/>
        </w:rPr>
        <w:t>Setabutr</w:t>
      </w:r>
      <w:proofErr w:type="spellEnd"/>
      <w:r w:rsidRPr="00666D78">
        <w:rPr>
          <w:rFonts w:ascii="Times New Roman" w:hAnsi="Times New Roman" w:cs="Times New Roman"/>
          <w:szCs w:val="24"/>
        </w:rPr>
        <w:t>)</w:t>
      </w:r>
    </w:p>
    <w:p w14:paraId="6C9AA660"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President of the University Council</w:t>
      </w:r>
    </w:p>
    <w:p w14:paraId="5904ED50" w14:textId="3041928D" w:rsidR="00C6414B" w:rsidRPr="00666D78" w:rsidRDefault="00C6414B" w:rsidP="00666D78">
      <w:pPr>
        <w:spacing w:line="276" w:lineRule="auto"/>
        <w:jc w:val="both"/>
        <w:rPr>
          <w:rFonts w:ascii="Times New Roman" w:hAnsi="Times New Roman" w:cs="Times New Roman"/>
          <w:szCs w:val="24"/>
        </w:rPr>
      </w:pPr>
    </w:p>
    <w:sectPr w:rsidR="00C6414B" w:rsidRPr="00666D78" w:rsidSect="00197DC4">
      <w:headerReference w:type="default" r:id="rId8"/>
      <w:footerReference w:type="default" r:id="rId9"/>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5D82" w14:textId="77777777" w:rsidR="00B1796C" w:rsidRDefault="00B1796C">
      <w:r>
        <w:separator/>
      </w:r>
    </w:p>
  </w:endnote>
  <w:endnote w:type="continuationSeparator" w:id="0">
    <w:p w14:paraId="30FE78C9" w14:textId="77777777" w:rsidR="00B1796C" w:rsidRDefault="00B1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A36E" w14:textId="77777777" w:rsidR="00197DC4" w:rsidRDefault="00197DC4" w:rsidP="00197DC4">
    <w:pPr>
      <w:pStyle w:val="Footer"/>
      <w:jc w:val="thaiDistribute"/>
      <w:rPr>
        <w:rFonts w:ascii="Times New Roman" w:hAnsi="Times New Roman"/>
        <w:b/>
        <w:bCs/>
        <w:sz w:val="22"/>
        <w:szCs w:val="28"/>
        <w:lang w:val="en-US"/>
      </w:rPr>
    </w:pPr>
  </w:p>
  <w:p w14:paraId="08B8BE39" w14:textId="32664BE7" w:rsidR="00197DC4" w:rsidRPr="00870D74" w:rsidRDefault="00197DC4" w:rsidP="00197DC4">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7A7D5545" w14:textId="77777777" w:rsidR="00197DC4" w:rsidRPr="00197DC4" w:rsidRDefault="00197D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434" w14:textId="77777777" w:rsidR="00197DC4" w:rsidRPr="00197DC4" w:rsidRDefault="00197DC4" w:rsidP="00197DC4">
    <w:pPr>
      <w:pStyle w:val="Footer"/>
      <w:jc w:val="thaiDistribute"/>
      <w:rPr>
        <w:rFonts w:ascii="Times New Roman" w:hAnsi="Times New Roman"/>
        <w:b/>
        <w:bCs/>
        <w:sz w:val="22"/>
        <w:szCs w:val="22"/>
        <w:lang w:val="en-US"/>
      </w:rPr>
    </w:pPr>
  </w:p>
  <w:p w14:paraId="4ED5BEB4" w14:textId="7901F181" w:rsidR="00197DC4" w:rsidRPr="00197DC4" w:rsidRDefault="00197DC4" w:rsidP="00197DC4">
    <w:pPr>
      <w:pStyle w:val="Footer"/>
      <w:jc w:val="thaiDistribute"/>
      <w:rPr>
        <w:rFonts w:ascii="Times New Roman" w:hAnsi="Times New Roman"/>
        <w:sz w:val="22"/>
        <w:szCs w:val="22"/>
        <w:lang w:val="en-US"/>
      </w:rPr>
    </w:pPr>
    <w:r w:rsidRPr="00197DC4">
      <w:rPr>
        <w:rFonts w:ascii="Times New Roman" w:hAnsi="Times New Roman" w:cs="Times New Roman"/>
        <w:b/>
        <w:bCs/>
        <w:sz w:val="22"/>
        <w:szCs w:val="22"/>
        <w:lang w:val="en-US"/>
      </w:rPr>
      <w:t xml:space="preserve">Remark: </w:t>
    </w:r>
    <w:r w:rsidRPr="00197DC4">
      <w:rPr>
        <w:rFonts w:ascii="Times New Roman" w:hAnsi="Times New Roman"/>
        <w:sz w:val="22"/>
        <w:szCs w:val="22"/>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842C537" w14:textId="77777777" w:rsidR="00197DC4" w:rsidRPr="00197DC4" w:rsidRDefault="00197D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BED3" w14:textId="77777777" w:rsidR="00B1796C" w:rsidRDefault="00B1796C">
      <w:r>
        <w:separator/>
      </w:r>
    </w:p>
  </w:footnote>
  <w:footnote w:type="continuationSeparator" w:id="0">
    <w:p w14:paraId="0FB79DF6" w14:textId="77777777" w:rsidR="00B1796C" w:rsidRDefault="00B1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406247"/>
      <w:docPartObj>
        <w:docPartGallery w:val="Page Numbers (Top of Page)"/>
        <w:docPartUnique/>
      </w:docPartObj>
    </w:sdtPr>
    <w:sdtEndPr>
      <w:rPr>
        <w:noProof/>
      </w:rPr>
    </w:sdtEndPr>
    <w:sdtContent>
      <w:p w14:paraId="3F0AE838" w14:textId="1813F333" w:rsidR="00686C20" w:rsidRDefault="00197DC4" w:rsidP="00686C20">
        <w:pPr>
          <w:pStyle w:val="Header"/>
          <w:jc w:val="center"/>
        </w:pPr>
        <w:r w:rsidRPr="00197DC4">
          <w:rPr>
            <w:rFonts w:cs="Times New Roman"/>
            <w:sz w:val="22"/>
            <w:szCs w:val="28"/>
          </w:rPr>
          <w:fldChar w:fldCharType="begin"/>
        </w:r>
        <w:r w:rsidRPr="00197DC4">
          <w:rPr>
            <w:rFonts w:cs="Times New Roman"/>
            <w:sz w:val="22"/>
            <w:szCs w:val="28"/>
          </w:rPr>
          <w:instrText xml:space="preserve"> PAGE   \* MERGEFORMAT </w:instrText>
        </w:r>
        <w:r w:rsidRPr="00197DC4">
          <w:rPr>
            <w:rFonts w:cs="Times New Roman"/>
            <w:sz w:val="22"/>
            <w:szCs w:val="28"/>
          </w:rPr>
          <w:fldChar w:fldCharType="separate"/>
        </w:r>
        <w:r w:rsidRPr="00197DC4">
          <w:rPr>
            <w:rFonts w:cs="Times New Roman"/>
            <w:noProof/>
            <w:sz w:val="22"/>
            <w:szCs w:val="28"/>
          </w:rPr>
          <w:t>2</w:t>
        </w:r>
        <w:r w:rsidRPr="00197DC4">
          <w:rPr>
            <w:rFonts w:cs="Times New Roman"/>
            <w:noProof/>
            <w:sz w:val="22"/>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89736"/>
      <w:docPartObj>
        <w:docPartGallery w:val="Page Numbers (Top of Page)"/>
        <w:docPartUnique/>
      </w:docPartObj>
    </w:sdtPr>
    <w:sdtEndPr>
      <w:rPr>
        <w:noProof/>
      </w:rPr>
    </w:sdtEndPr>
    <w:sdtContent>
      <w:p w14:paraId="690B48FC" w14:textId="4EDD3A57" w:rsidR="00197DC4" w:rsidRDefault="00B1796C">
        <w:pPr>
          <w:pStyle w:val="Header"/>
          <w:jc w:val="center"/>
        </w:pPr>
      </w:p>
    </w:sdtContent>
  </w:sdt>
  <w:p w14:paraId="07DDB61D" w14:textId="77777777" w:rsidR="00197DC4" w:rsidRDefault="0019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47F7"/>
    <w:multiLevelType w:val="hybridMultilevel"/>
    <w:tmpl w:val="3468097E"/>
    <w:lvl w:ilvl="0" w:tplc="170803E2">
      <w:start w:val="5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B5A"/>
    <w:multiLevelType w:val="hybridMultilevel"/>
    <w:tmpl w:val="8A9C1DB6"/>
    <w:lvl w:ilvl="0" w:tplc="88E63F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30"/>
    <w:rsid w:val="00011415"/>
    <w:rsid w:val="00020DBE"/>
    <w:rsid w:val="00023B24"/>
    <w:rsid w:val="000268AD"/>
    <w:rsid w:val="00026A3B"/>
    <w:rsid w:val="00032CFF"/>
    <w:rsid w:val="000374CC"/>
    <w:rsid w:val="00041B6A"/>
    <w:rsid w:val="000437CA"/>
    <w:rsid w:val="0004483C"/>
    <w:rsid w:val="000528FF"/>
    <w:rsid w:val="00056D78"/>
    <w:rsid w:val="00073F80"/>
    <w:rsid w:val="00074E05"/>
    <w:rsid w:val="00077951"/>
    <w:rsid w:val="00084F5D"/>
    <w:rsid w:val="0008691B"/>
    <w:rsid w:val="00091431"/>
    <w:rsid w:val="00093775"/>
    <w:rsid w:val="00094EF7"/>
    <w:rsid w:val="00097655"/>
    <w:rsid w:val="000A3506"/>
    <w:rsid w:val="000A7992"/>
    <w:rsid w:val="000B204B"/>
    <w:rsid w:val="000E1A03"/>
    <w:rsid w:val="000E1C61"/>
    <w:rsid w:val="000E291D"/>
    <w:rsid w:val="000E2C09"/>
    <w:rsid w:val="000E6105"/>
    <w:rsid w:val="00121F7F"/>
    <w:rsid w:val="001347C7"/>
    <w:rsid w:val="001531D0"/>
    <w:rsid w:val="0015507E"/>
    <w:rsid w:val="00175A76"/>
    <w:rsid w:val="00181B12"/>
    <w:rsid w:val="00183A40"/>
    <w:rsid w:val="001962B2"/>
    <w:rsid w:val="00197DC4"/>
    <w:rsid w:val="001A22A1"/>
    <w:rsid w:val="001B7978"/>
    <w:rsid w:val="001D0E71"/>
    <w:rsid w:val="001D1C7D"/>
    <w:rsid w:val="001D515B"/>
    <w:rsid w:val="001D55A5"/>
    <w:rsid w:val="001E1D54"/>
    <w:rsid w:val="001F762E"/>
    <w:rsid w:val="00203E3E"/>
    <w:rsid w:val="00232D5B"/>
    <w:rsid w:val="00234D05"/>
    <w:rsid w:val="00266373"/>
    <w:rsid w:val="002859DE"/>
    <w:rsid w:val="002A540E"/>
    <w:rsid w:val="002C2263"/>
    <w:rsid w:val="002F3B92"/>
    <w:rsid w:val="002F7072"/>
    <w:rsid w:val="00301C55"/>
    <w:rsid w:val="003159D7"/>
    <w:rsid w:val="003246C4"/>
    <w:rsid w:val="00353B31"/>
    <w:rsid w:val="00355594"/>
    <w:rsid w:val="00375DD8"/>
    <w:rsid w:val="00376AA1"/>
    <w:rsid w:val="00377ED2"/>
    <w:rsid w:val="003948AF"/>
    <w:rsid w:val="00396760"/>
    <w:rsid w:val="0039788E"/>
    <w:rsid w:val="003B2D73"/>
    <w:rsid w:val="003C2416"/>
    <w:rsid w:val="003D051E"/>
    <w:rsid w:val="003D2869"/>
    <w:rsid w:val="003D3B63"/>
    <w:rsid w:val="003D4224"/>
    <w:rsid w:val="003E0D7A"/>
    <w:rsid w:val="003E4AD8"/>
    <w:rsid w:val="003F797A"/>
    <w:rsid w:val="00424802"/>
    <w:rsid w:val="004439A2"/>
    <w:rsid w:val="00447553"/>
    <w:rsid w:val="00454634"/>
    <w:rsid w:val="004553C2"/>
    <w:rsid w:val="00475179"/>
    <w:rsid w:val="00492D8B"/>
    <w:rsid w:val="0049335F"/>
    <w:rsid w:val="00496C2C"/>
    <w:rsid w:val="004B5C6B"/>
    <w:rsid w:val="004C56FC"/>
    <w:rsid w:val="004D413B"/>
    <w:rsid w:val="004D7CBC"/>
    <w:rsid w:val="004E4E21"/>
    <w:rsid w:val="004E5CE1"/>
    <w:rsid w:val="00501163"/>
    <w:rsid w:val="00502D97"/>
    <w:rsid w:val="00504822"/>
    <w:rsid w:val="00506047"/>
    <w:rsid w:val="005255BC"/>
    <w:rsid w:val="005317CA"/>
    <w:rsid w:val="00532344"/>
    <w:rsid w:val="00543847"/>
    <w:rsid w:val="005533E4"/>
    <w:rsid w:val="00557364"/>
    <w:rsid w:val="005632DE"/>
    <w:rsid w:val="005639C0"/>
    <w:rsid w:val="00564E14"/>
    <w:rsid w:val="00574529"/>
    <w:rsid w:val="00596E32"/>
    <w:rsid w:val="005A0F02"/>
    <w:rsid w:val="005C7A17"/>
    <w:rsid w:val="005E28F8"/>
    <w:rsid w:val="005E7F6C"/>
    <w:rsid w:val="005F08E1"/>
    <w:rsid w:val="00610CA2"/>
    <w:rsid w:val="00616B60"/>
    <w:rsid w:val="0061778D"/>
    <w:rsid w:val="00622411"/>
    <w:rsid w:val="006320E2"/>
    <w:rsid w:val="00636F22"/>
    <w:rsid w:val="0064508F"/>
    <w:rsid w:val="00647047"/>
    <w:rsid w:val="00650256"/>
    <w:rsid w:val="00662C90"/>
    <w:rsid w:val="0066540A"/>
    <w:rsid w:val="00666D78"/>
    <w:rsid w:val="00686C20"/>
    <w:rsid w:val="006D4A9F"/>
    <w:rsid w:val="006D5291"/>
    <w:rsid w:val="006D77D0"/>
    <w:rsid w:val="006F1EA4"/>
    <w:rsid w:val="006F7514"/>
    <w:rsid w:val="007039D4"/>
    <w:rsid w:val="00706171"/>
    <w:rsid w:val="00710A2D"/>
    <w:rsid w:val="007278D7"/>
    <w:rsid w:val="00727F6F"/>
    <w:rsid w:val="00735BCA"/>
    <w:rsid w:val="0074196A"/>
    <w:rsid w:val="00753AEA"/>
    <w:rsid w:val="0077272A"/>
    <w:rsid w:val="00776234"/>
    <w:rsid w:val="0079326E"/>
    <w:rsid w:val="007A4DC4"/>
    <w:rsid w:val="007C1171"/>
    <w:rsid w:val="007C152B"/>
    <w:rsid w:val="007C3558"/>
    <w:rsid w:val="007E0912"/>
    <w:rsid w:val="007E3917"/>
    <w:rsid w:val="007F53D9"/>
    <w:rsid w:val="007F7EA2"/>
    <w:rsid w:val="0080261E"/>
    <w:rsid w:val="00806A63"/>
    <w:rsid w:val="00816A84"/>
    <w:rsid w:val="0083251E"/>
    <w:rsid w:val="00834C1F"/>
    <w:rsid w:val="00850C55"/>
    <w:rsid w:val="00851F17"/>
    <w:rsid w:val="00872A1B"/>
    <w:rsid w:val="008753DF"/>
    <w:rsid w:val="00886319"/>
    <w:rsid w:val="00894AAE"/>
    <w:rsid w:val="008A628E"/>
    <w:rsid w:val="008C6C36"/>
    <w:rsid w:val="008E1A2D"/>
    <w:rsid w:val="008E566A"/>
    <w:rsid w:val="008F2ADB"/>
    <w:rsid w:val="008F4BDF"/>
    <w:rsid w:val="008F4EDF"/>
    <w:rsid w:val="008F6056"/>
    <w:rsid w:val="009026EA"/>
    <w:rsid w:val="00904271"/>
    <w:rsid w:val="00905E30"/>
    <w:rsid w:val="009110C7"/>
    <w:rsid w:val="00922609"/>
    <w:rsid w:val="00925E7F"/>
    <w:rsid w:val="00927832"/>
    <w:rsid w:val="00931D05"/>
    <w:rsid w:val="00933889"/>
    <w:rsid w:val="00943563"/>
    <w:rsid w:val="0094403F"/>
    <w:rsid w:val="00947CEE"/>
    <w:rsid w:val="00974939"/>
    <w:rsid w:val="00980F0B"/>
    <w:rsid w:val="00990543"/>
    <w:rsid w:val="00992AB9"/>
    <w:rsid w:val="009A14EE"/>
    <w:rsid w:val="009B6BC6"/>
    <w:rsid w:val="009C5083"/>
    <w:rsid w:val="009D3173"/>
    <w:rsid w:val="009E5945"/>
    <w:rsid w:val="00A107E9"/>
    <w:rsid w:val="00A12328"/>
    <w:rsid w:val="00A35011"/>
    <w:rsid w:val="00A537F6"/>
    <w:rsid w:val="00A75261"/>
    <w:rsid w:val="00A878B3"/>
    <w:rsid w:val="00A960B5"/>
    <w:rsid w:val="00AA26F7"/>
    <w:rsid w:val="00AA5D38"/>
    <w:rsid w:val="00AD1ED5"/>
    <w:rsid w:val="00AE11E0"/>
    <w:rsid w:val="00AE2918"/>
    <w:rsid w:val="00AE3465"/>
    <w:rsid w:val="00AF10FB"/>
    <w:rsid w:val="00AF72A4"/>
    <w:rsid w:val="00B011C5"/>
    <w:rsid w:val="00B1150C"/>
    <w:rsid w:val="00B17842"/>
    <w:rsid w:val="00B1796C"/>
    <w:rsid w:val="00B204C2"/>
    <w:rsid w:val="00B21F2F"/>
    <w:rsid w:val="00B23EB4"/>
    <w:rsid w:val="00B249D3"/>
    <w:rsid w:val="00B433CC"/>
    <w:rsid w:val="00B52035"/>
    <w:rsid w:val="00B5504C"/>
    <w:rsid w:val="00B61F5C"/>
    <w:rsid w:val="00B700E0"/>
    <w:rsid w:val="00B72880"/>
    <w:rsid w:val="00B7362A"/>
    <w:rsid w:val="00BA253C"/>
    <w:rsid w:val="00BA6A1D"/>
    <w:rsid w:val="00BB44E0"/>
    <w:rsid w:val="00BC270C"/>
    <w:rsid w:val="00BD2B8F"/>
    <w:rsid w:val="00BE7F54"/>
    <w:rsid w:val="00BF2CC7"/>
    <w:rsid w:val="00BF3C4E"/>
    <w:rsid w:val="00BF7113"/>
    <w:rsid w:val="00C03E4E"/>
    <w:rsid w:val="00C062D2"/>
    <w:rsid w:val="00C06E06"/>
    <w:rsid w:val="00C10DFA"/>
    <w:rsid w:val="00C2210D"/>
    <w:rsid w:val="00C25280"/>
    <w:rsid w:val="00C30647"/>
    <w:rsid w:val="00C3259B"/>
    <w:rsid w:val="00C36127"/>
    <w:rsid w:val="00C51394"/>
    <w:rsid w:val="00C52C2E"/>
    <w:rsid w:val="00C61760"/>
    <w:rsid w:val="00C6414B"/>
    <w:rsid w:val="00C66313"/>
    <w:rsid w:val="00C73A36"/>
    <w:rsid w:val="00C841CF"/>
    <w:rsid w:val="00C90767"/>
    <w:rsid w:val="00C92EC9"/>
    <w:rsid w:val="00CA47EB"/>
    <w:rsid w:val="00CC1A73"/>
    <w:rsid w:val="00CC4B5E"/>
    <w:rsid w:val="00D06F2F"/>
    <w:rsid w:val="00D122B5"/>
    <w:rsid w:val="00D13F38"/>
    <w:rsid w:val="00D20F1E"/>
    <w:rsid w:val="00D3548C"/>
    <w:rsid w:val="00D3566A"/>
    <w:rsid w:val="00D62F9A"/>
    <w:rsid w:val="00D8180B"/>
    <w:rsid w:val="00DC6470"/>
    <w:rsid w:val="00DC7DC4"/>
    <w:rsid w:val="00DD6590"/>
    <w:rsid w:val="00DF2E73"/>
    <w:rsid w:val="00DF4829"/>
    <w:rsid w:val="00E00AEE"/>
    <w:rsid w:val="00E14B00"/>
    <w:rsid w:val="00E21B0D"/>
    <w:rsid w:val="00E478E5"/>
    <w:rsid w:val="00E51EF8"/>
    <w:rsid w:val="00E7432B"/>
    <w:rsid w:val="00E849DF"/>
    <w:rsid w:val="00E96449"/>
    <w:rsid w:val="00E96687"/>
    <w:rsid w:val="00EB03FF"/>
    <w:rsid w:val="00EB77C3"/>
    <w:rsid w:val="00EC4EC8"/>
    <w:rsid w:val="00ED17FD"/>
    <w:rsid w:val="00ED22D3"/>
    <w:rsid w:val="00ED6017"/>
    <w:rsid w:val="00EE4BE6"/>
    <w:rsid w:val="00EE75EE"/>
    <w:rsid w:val="00EE7BB8"/>
    <w:rsid w:val="00F20E71"/>
    <w:rsid w:val="00F22D8B"/>
    <w:rsid w:val="00F23564"/>
    <w:rsid w:val="00F2440B"/>
    <w:rsid w:val="00F70807"/>
    <w:rsid w:val="00FA0F6E"/>
    <w:rsid w:val="00FB60A6"/>
    <w:rsid w:val="00FC0176"/>
    <w:rsid w:val="00FD17DC"/>
    <w:rsid w:val="00FD31B9"/>
    <w:rsid w:val="00FD7D9B"/>
    <w:rsid w:val="00FE2B24"/>
    <w:rsid w:val="00FE67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F92A"/>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905E30"/>
    <w:rPr>
      <w:lang w:val="en-GB"/>
    </w:rPr>
  </w:style>
  <w:style w:type="character" w:styleId="CommentReference">
    <w:name w:val="annotation reference"/>
    <w:basedOn w:val="DefaultParagraphFont"/>
    <w:uiPriority w:val="99"/>
    <w:semiHidden/>
    <w:unhideWhenUsed/>
    <w:rsid w:val="00BF3C4E"/>
    <w:rPr>
      <w:sz w:val="16"/>
      <w:szCs w:val="16"/>
    </w:rPr>
  </w:style>
  <w:style w:type="paragraph" w:styleId="CommentText">
    <w:name w:val="annotation text"/>
    <w:basedOn w:val="Normal"/>
    <w:link w:val="CommentTextChar"/>
    <w:uiPriority w:val="99"/>
    <w:semiHidden/>
    <w:unhideWhenUsed/>
    <w:rsid w:val="006F7514"/>
    <w:rPr>
      <w:sz w:val="20"/>
      <w:szCs w:val="25"/>
    </w:rPr>
  </w:style>
  <w:style w:type="character" w:customStyle="1" w:styleId="CommentTextChar">
    <w:name w:val="Comment Text Char"/>
    <w:basedOn w:val="DefaultParagraphFont"/>
    <w:link w:val="CommentText"/>
    <w:uiPriority w:val="99"/>
    <w:semiHidden/>
    <w:rsid w:val="006F7514"/>
    <w:rPr>
      <w:sz w:val="20"/>
      <w:szCs w:val="25"/>
      <w:lang w:val="en-GB"/>
    </w:rPr>
  </w:style>
  <w:style w:type="paragraph" w:styleId="CommentSubject">
    <w:name w:val="annotation subject"/>
    <w:basedOn w:val="CommentText"/>
    <w:next w:val="CommentText"/>
    <w:link w:val="CommentSubjectChar"/>
    <w:uiPriority w:val="99"/>
    <w:semiHidden/>
    <w:unhideWhenUsed/>
    <w:rsid w:val="006F7514"/>
    <w:rPr>
      <w:b/>
      <w:bCs/>
    </w:rPr>
  </w:style>
  <w:style w:type="character" w:customStyle="1" w:styleId="CommentSubjectChar">
    <w:name w:val="Comment Subject Char"/>
    <w:basedOn w:val="CommentTextChar"/>
    <w:link w:val="CommentSubject"/>
    <w:uiPriority w:val="99"/>
    <w:semiHidden/>
    <w:rsid w:val="006F7514"/>
    <w:rPr>
      <w:b/>
      <w:bCs/>
      <w:sz w:val="20"/>
      <w:szCs w:val="25"/>
      <w:lang w:val="en-GB"/>
    </w:rPr>
  </w:style>
  <w:style w:type="character" w:styleId="Hyperlink">
    <w:name w:val="Hyperlink"/>
    <w:basedOn w:val="DefaultParagraphFont"/>
    <w:uiPriority w:val="99"/>
    <w:unhideWhenUsed/>
    <w:rsid w:val="006F7514"/>
    <w:rPr>
      <w:color w:val="0563C1" w:themeColor="hyperlink"/>
      <w:u w:val="single"/>
    </w:rPr>
  </w:style>
  <w:style w:type="character" w:customStyle="1" w:styleId="UnresolvedMention1">
    <w:name w:val="Unresolved Mention1"/>
    <w:basedOn w:val="DefaultParagraphFont"/>
    <w:uiPriority w:val="99"/>
    <w:semiHidden/>
    <w:unhideWhenUsed/>
    <w:rsid w:val="00F70807"/>
    <w:rPr>
      <w:color w:val="605E5C"/>
      <w:shd w:val="clear" w:color="auto" w:fill="E1DFDD"/>
    </w:rPr>
  </w:style>
  <w:style w:type="paragraph" w:styleId="ListParagraph">
    <w:name w:val="List Paragraph"/>
    <w:basedOn w:val="Normal"/>
    <w:uiPriority w:val="34"/>
    <w:qFormat/>
    <w:rsid w:val="00990543"/>
    <w:pPr>
      <w:ind w:left="720"/>
      <w:contextualSpacing/>
    </w:pPr>
  </w:style>
  <w:style w:type="table" w:styleId="TableGrid">
    <w:name w:val="Table Grid"/>
    <w:basedOn w:val="TableNormal"/>
    <w:uiPriority w:val="39"/>
    <w:rsid w:val="006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912"/>
    <w:rPr>
      <w:rFonts w:ascii="Tahoma" w:hAnsi="Tahoma" w:cs="Angsana New"/>
      <w:sz w:val="16"/>
      <w:szCs w:val="20"/>
    </w:rPr>
  </w:style>
  <w:style w:type="character" w:customStyle="1" w:styleId="BalloonTextChar">
    <w:name w:val="Balloon Text Char"/>
    <w:basedOn w:val="DefaultParagraphFont"/>
    <w:link w:val="BalloonText"/>
    <w:uiPriority w:val="99"/>
    <w:semiHidden/>
    <w:rsid w:val="007E0912"/>
    <w:rPr>
      <w:rFonts w:ascii="Tahoma" w:hAnsi="Tahoma" w:cs="Angsana New"/>
      <w:sz w:val="16"/>
      <w:szCs w:val="20"/>
      <w:lang w:val="en-GB"/>
    </w:rPr>
  </w:style>
  <w:style w:type="paragraph" w:styleId="Footer">
    <w:name w:val="footer"/>
    <w:basedOn w:val="Normal"/>
    <w:link w:val="FooterChar"/>
    <w:uiPriority w:val="99"/>
    <w:unhideWhenUsed/>
    <w:rsid w:val="00686C20"/>
    <w:pPr>
      <w:tabs>
        <w:tab w:val="center" w:pos="4680"/>
        <w:tab w:val="right" w:pos="9360"/>
      </w:tabs>
    </w:pPr>
  </w:style>
  <w:style w:type="character" w:customStyle="1" w:styleId="FooterChar">
    <w:name w:val="Footer Char"/>
    <w:basedOn w:val="DefaultParagraphFont"/>
    <w:link w:val="Footer"/>
    <w:uiPriority w:val="99"/>
    <w:rsid w:val="00686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20</cp:revision>
  <cp:lastPrinted>2024-04-10T08:58:00Z</cp:lastPrinted>
  <dcterms:created xsi:type="dcterms:W3CDTF">2024-04-02T04:08:00Z</dcterms:created>
  <dcterms:modified xsi:type="dcterms:W3CDTF">2024-10-29T03:22:00Z</dcterms:modified>
</cp:coreProperties>
</file>